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626DF" w14:textId="77777777" w:rsidR="00063437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720" w:hanging="720"/>
        <w:jc w:val="both"/>
        <w:rPr>
          <w:rFonts w:ascii="Arial" w:eastAsia="Times New Roman" w:hAnsi="Arial" w:cs="Arial"/>
          <w:b/>
          <w:snapToGrid w:val="0"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napToGrid w:val="0"/>
          <w:sz w:val="24"/>
          <w:szCs w:val="24"/>
          <w:u w:val="single"/>
        </w:rPr>
        <w:t>GC0151 Original Proposal Legal Text</w:t>
      </w:r>
    </w:p>
    <w:p w14:paraId="5A7D885C" w14:textId="77777777" w:rsidR="00063437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720" w:hanging="720"/>
        <w:jc w:val="both"/>
        <w:rPr>
          <w:rFonts w:ascii="Arial" w:eastAsia="Times New Roman" w:hAnsi="Arial" w:cs="Arial"/>
          <w:b/>
          <w:snapToGrid w:val="0"/>
          <w:sz w:val="24"/>
          <w:szCs w:val="24"/>
          <w:u w:val="single"/>
        </w:rPr>
      </w:pPr>
    </w:p>
    <w:p w14:paraId="56DBD0CD" w14:textId="47977063" w:rsidR="00063437" w:rsidRPr="008D6E11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720" w:hanging="720"/>
        <w:jc w:val="both"/>
        <w:rPr>
          <w:rFonts w:ascii="Arial" w:eastAsia="Times New Roman" w:hAnsi="Arial" w:cs="Arial"/>
          <w:b/>
          <w:snapToGrid w:val="0"/>
          <w:sz w:val="20"/>
          <w:szCs w:val="20"/>
          <w:u w:val="single"/>
        </w:rPr>
      </w:pPr>
      <w:r w:rsidRPr="008D6E11">
        <w:rPr>
          <w:rFonts w:ascii="Arial" w:eastAsia="Times New Roman" w:hAnsi="Arial" w:cs="Arial"/>
          <w:b/>
          <w:snapToGrid w:val="0"/>
          <w:sz w:val="20"/>
          <w:szCs w:val="20"/>
          <w:u w:val="single"/>
        </w:rPr>
        <w:t>Amendments to OC5</w:t>
      </w:r>
    </w:p>
    <w:p w14:paraId="49E63618" w14:textId="49CE182C" w:rsidR="00063437" w:rsidRPr="008D6E11" w:rsidRDefault="00063437" w:rsidP="00FB2735">
      <w:pPr>
        <w:keepLines/>
        <w:widowControl w:val="0"/>
        <w:tabs>
          <w:tab w:val="left" w:pos="1843"/>
        </w:tabs>
        <w:spacing w:after="120" w:line="264" w:lineRule="auto"/>
        <w:ind w:left="1418" w:hanging="1418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8D6E11">
        <w:rPr>
          <w:rFonts w:ascii="Arial" w:eastAsia="Times New Roman" w:hAnsi="Arial" w:cs="Arial"/>
          <w:snapToGrid w:val="0"/>
          <w:sz w:val="20"/>
          <w:szCs w:val="20"/>
        </w:rPr>
        <w:t>OC5.4.2.1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ab/>
        <w:t xml:space="preserve">In the event that a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BM Unit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fails persistently,</w:t>
      </w:r>
      <w:r w:rsidRPr="008D6E11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in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The Company's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reasonable view, to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 xml:space="preserve">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>follow, in any material respect,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 xml:space="preserve">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its expected input or output or a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User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fails </w:t>
      </w:r>
      <w:r w:rsidR="008437F7">
        <w:rPr>
          <w:rFonts w:ascii="Arial" w:eastAsia="Times New Roman" w:hAnsi="Arial" w:cs="Arial"/>
          <w:snapToGrid w:val="0"/>
          <w:sz w:val="20"/>
          <w:szCs w:val="20"/>
        </w:rPr>
        <w:t xml:space="preserve">persistently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to comply with the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CC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or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ECC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as applicable </w:t>
      </w:r>
      <w:r w:rsidR="00EA6F85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or fails </w:t>
      </w:r>
      <w:r w:rsidR="000100C4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to comply in the case of CC.6.3.15 or ECC 6.3.15 as applicable</w:t>
      </w:r>
      <w:r w:rsidR="000100C4" w:rsidRPr="001B7671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and in the case of response to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Frequency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,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BC3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or to provide the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Ancillary Services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it is required, or has agreed, to provide,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The Company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 w:rsidRPr="00FF28CA">
        <w:rPr>
          <w:rFonts w:ascii="Arial" w:eastAsia="Times New Roman" w:hAnsi="Arial" w:cs="Arial"/>
          <w:snapToGrid w:val="0"/>
          <w:sz w:val="20"/>
          <w:szCs w:val="20"/>
        </w:rPr>
        <w:t>may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notify the relevant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User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giving details of the failure and of the monitoring that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The Company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has carried out. </w:t>
      </w:r>
    </w:p>
    <w:p w14:paraId="1FB60698" w14:textId="77777777" w:rsidR="00063437" w:rsidRPr="008D6E11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1418" w:hanging="1418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8D6E11">
        <w:rPr>
          <w:rFonts w:ascii="Arial" w:eastAsia="Times New Roman" w:hAnsi="Arial" w:cs="Arial"/>
          <w:snapToGrid w:val="0"/>
          <w:sz w:val="20"/>
          <w:szCs w:val="20"/>
        </w:rPr>
        <w:t>OC5.4.2.2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ab/>
        <w:t xml:space="preserve">The relevant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User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will, as soon as possible, provide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The Company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with an explanation of the reasons for the failure and details of the action that it proposes to take to:</w:t>
      </w:r>
    </w:p>
    <w:p w14:paraId="2527C0D3" w14:textId="77777777" w:rsidR="00063437" w:rsidRPr="008D6E11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1418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8D6E11">
        <w:rPr>
          <w:rFonts w:ascii="Arial" w:eastAsia="Times New Roman" w:hAnsi="Arial" w:cs="Arial"/>
          <w:snapToGrid w:val="0"/>
          <w:sz w:val="20"/>
          <w:szCs w:val="20"/>
        </w:rPr>
        <w:t>(a)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ab/>
        <w:t>enable the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 xml:space="preserve"> BM Unit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to meet its expected input or output or to provide the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Ancillary Services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it is required or has agreed to provide, within a reasonable period, or</w:t>
      </w:r>
    </w:p>
    <w:p w14:paraId="23141434" w14:textId="55BF3E81" w:rsidR="000A3620" w:rsidRDefault="00063437" w:rsidP="006F2393">
      <w:pPr>
        <w:keepLines/>
        <w:widowControl w:val="0"/>
        <w:tabs>
          <w:tab w:val="left" w:pos="1843"/>
        </w:tabs>
        <w:spacing w:after="120" w:line="264" w:lineRule="auto"/>
        <w:ind w:left="1418"/>
        <w:jc w:val="both"/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  <w:u w:val="single"/>
        </w:rPr>
      </w:pPr>
      <w:r w:rsidRPr="008D6E11">
        <w:rPr>
          <w:rFonts w:ascii="Arial" w:eastAsia="Times New Roman" w:hAnsi="Arial" w:cs="Arial"/>
          <w:snapToGrid w:val="0"/>
          <w:sz w:val="20"/>
          <w:szCs w:val="20"/>
        </w:rPr>
        <w:t>(b)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ab/>
        <w:t xml:space="preserve">in the case of a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Power Generating Module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,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Generating Unit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(excluding a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Power Park Unit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),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CCGT Module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>,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 xml:space="preserve"> Power Park Module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>,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 xml:space="preserve"> OTSUA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>(prior to the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 xml:space="preserve"> OTSUA Transfer Time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),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HVDC Equipment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or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 xml:space="preserve"> DC Converter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to comply with the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CC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or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ECC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as applicable and in the case of response to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Frequency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,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BC3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or to provide the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Ancillary Services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it is required or has agreed to provide, within a reasonable period</w:t>
      </w:r>
      <w:r w:rsidR="003417DE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</w:p>
    <w:p w14:paraId="1D73C66A" w14:textId="00301721" w:rsidR="001D43DA" w:rsidRPr="002A4ECD" w:rsidRDefault="001D43DA" w:rsidP="001D43DA">
      <w:pPr>
        <w:keepLines/>
        <w:widowControl w:val="0"/>
        <w:tabs>
          <w:tab w:val="left" w:pos="1843"/>
        </w:tabs>
        <w:spacing w:line="264" w:lineRule="auto"/>
        <w:ind w:left="1418"/>
        <w:jc w:val="both"/>
        <w:rPr>
          <w:rFonts w:ascii="Arial" w:hAnsi="Arial" w:cs="Arial"/>
          <w:snapToGrid w:val="0"/>
          <w:color w:val="FF0000"/>
          <w:sz w:val="20"/>
          <w:szCs w:val="20"/>
        </w:rPr>
      </w:pPr>
      <w:r w:rsidRPr="002A4ECD">
        <w:rPr>
          <w:rFonts w:ascii="Arial" w:hAnsi="Arial" w:cs="Arial"/>
          <w:snapToGrid w:val="0"/>
          <w:color w:val="FF0000"/>
          <w:sz w:val="20"/>
          <w:szCs w:val="20"/>
        </w:rPr>
        <w:t>(c)</w:t>
      </w:r>
      <w:r w:rsidRPr="002A4ECD">
        <w:rPr>
          <w:rFonts w:ascii="Arial" w:hAnsi="Arial" w:cs="Arial"/>
          <w:snapToGrid w:val="0"/>
          <w:color w:val="FF0000"/>
          <w:sz w:val="20"/>
          <w:szCs w:val="20"/>
        </w:rPr>
        <w:tab/>
        <w:t xml:space="preserve">in the case of a </w:t>
      </w:r>
      <w:r w:rsidRPr="002A4ECD">
        <w:rPr>
          <w:rFonts w:ascii="Arial" w:hAnsi="Arial" w:cs="Arial"/>
          <w:b/>
          <w:snapToGrid w:val="0"/>
          <w:color w:val="FF0000"/>
          <w:sz w:val="20"/>
          <w:szCs w:val="20"/>
        </w:rPr>
        <w:t>Power Generating Module</w:t>
      </w:r>
      <w:r w:rsidRPr="002A4ECD">
        <w:rPr>
          <w:rFonts w:ascii="Arial" w:hAnsi="Arial" w:cs="Arial"/>
          <w:snapToGrid w:val="0"/>
          <w:color w:val="FF0000"/>
          <w:sz w:val="20"/>
          <w:szCs w:val="20"/>
        </w:rPr>
        <w:t xml:space="preserve">, </w:t>
      </w:r>
      <w:r w:rsidRPr="002A4ECD">
        <w:rPr>
          <w:rFonts w:ascii="Arial" w:hAnsi="Arial" w:cs="Arial"/>
          <w:b/>
          <w:snapToGrid w:val="0"/>
          <w:color w:val="FF0000"/>
          <w:sz w:val="20"/>
          <w:szCs w:val="20"/>
        </w:rPr>
        <w:t>Generating Unit</w:t>
      </w:r>
      <w:r w:rsidRPr="002A4ECD">
        <w:rPr>
          <w:rFonts w:ascii="Arial" w:hAnsi="Arial" w:cs="Arial"/>
          <w:snapToGrid w:val="0"/>
          <w:color w:val="FF0000"/>
          <w:sz w:val="20"/>
          <w:szCs w:val="20"/>
        </w:rPr>
        <w:t xml:space="preserve"> (excluding a </w:t>
      </w:r>
      <w:r w:rsidRPr="002A4ECD">
        <w:rPr>
          <w:rFonts w:ascii="Arial" w:hAnsi="Arial" w:cs="Arial"/>
          <w:b/>
          <w:snapToGrid w:val="0"/>
          <w:color w:val="FF0000"/>
          <w:sz w:val="20"/>
          <w:szCs w:val="20"/>
        </w:rPr>
        <w:t>Power Park Unit</w:t>
      </w:r>
      <w:r w:rsidRPr="002A4ECD">
        <w:rPr>
          <w:rFonts w:ascii="Arial" w:hAnsi="Arial" w:cs="Arial"/>
          <w:snapToGrid w:val="0"/>
          <w:color w:val="FF0000"/>
          <w:sz w:val="20"/>
          <w:szCs w:val="20"/>
        </w:rPr>
        <w:t xml:space="preserve">), </w:t>
      </w:r>
      <w:r w:rsidRPr="002A4ECD">
        <w:rPr>
          <w:rFonts w:ascii="Arial" w:hAnsi="Arial" w:cs="Arial"/>
          <w:b/>
          <w:snapToGrid w:val="0"/>
          <w:color w:val="FF0000"/>
          <w:sz w:val="20"/>
          <w:szCs w:val="20"/>
        </w:rPr>
        <w:t>CCGT Module</w:t>
      </w:r>
      <w:r w:rsidRPr="002A4ECD">
        <w:rPr>
          <w:rFonts w:ascii="Arial" w:hAnsi="Arial" w:cs="Arial"/>
          <w:snapToGrid w:val="0"/>
          <w:color w:val="FF0000"/>
          <w:sz w:val="20"/>
          <w:szCs w:val="20"/>
        </w:rPr>
        <w:t>,</w:t>
      </w:r>
      <w:r w:rsidRPr="002A4ECD">
        <w:rPr>
          <w:rFonts w:ascii="Arial" w:hAnsi="Arial" w:cs="Arial"/>
          <w:b/>
          <w:snapToGrid w:val="0"/>
          <w:color w:val="FF0000"/>
          <w:sz w:val="20"/>
          <w:szCs w:val="20"/>
        </w:rPr>
        <w:t xml:space="preserve"> Power Park Module</w:t>
      </w:r>
      <w:r w:rsidRPr="002A4ECD">
        <w:rPr>
          <w:rFonts w:ascii="Arial" w:hAnsi="Arial" w:cs="Arial"/>
          <w:snapToGrid w:val="0"/>
          <w:color w:val="FF0000"/>
          <w:sz w:val="20"/>
          <w:szCs w:val="20"/>
        </w:rPr>
        <w:t>,</w:t>
      </w:r>
      <w:r w:rsidRPr="002A4ECD">
        <w:rPr>
          <w:rFonts w:ascii="Arial" w:hAnsi="Arial" w:cs="Arial"/>
          <w:b/>
          <w:snapToGrid w:val="0"/>
          <w:color w:val="FF0000"/>
          <w:sz w:val="20"/>
          <w:szCs w:val="20"/>
        </w:rPr>
        <w:t xml:space="preserve"> OTSUA </w:t>
      </w:r>
      <w:r w:rsidRPr="002A4ECD">
        <w:rPr>
          <w:rFonts w:ascii="Arial" w:hAnsi="Arial" w:cs="Arial"/>
          <w:snapToGrid w:val="0"/>
          <w:color w:val="FF0000"/>
          <w:sz w:val="20"/>
          <w:szCs w:val="20"/>
        </w:rPr>
        <w:t>(prior to the</w:t>
      </w:r>
      <w:r w:rsidRPr="002A4ECD">
        <w:rPr>
          <w:rFonts w:ascii="Arial" w:hAnsi="Arial" w:cs="Arial"/>
          <w:b/>
          <w:snapToGrid w:val="0"/>
          <w:color w:val="FF0000"/>
          <w:sz w:val="20"/>
          <w:szCs w:val="20"/>
        </w:rPr>
        <w:t xml:space="preserve"> OTSUA Transfer Time</w:t>
      </w:r>
      <w:r w:rsidRPr="002A4ECD">
        <w:rPr>
          <w:rFonts w:ascii="Arial" w:hAnsi="Arial" w:cs="Arial"/>
          <w:snapToGrid w:val="0"/>
          <w:color w:val="FF0000"/>
          <w:sz w:val="20"/>
          <w:szCs w:val="20"/>
        </w:rPr>
        <w:t xml:space="preserve">), </w:t>
      </w:r>
      <w:r w:rsidRPr="002A4ECD">
        <w:rPr>
          <w:rFonts w:ascii="Arial" w:hAnsi="Arial" w:cs="Arial"/>
          <w:b/>
          <w:snapToGrid w:val="0"/>
          <w:color w:val="FF0000"/>
          <w:sz w:val="20"/>
          <w:szCs w:val="20"/>
        </w:rPr>
        <w:t>HVDC Equipment</w:t>
      </w:r>
      <w:r w:rsidRPr="002A4ECD">
        <w:rPr>
          <w:rFonts w:ascii="Arial" w:hAnsi="Arial" w:cs="Arial"/>
          <w:snapToGrid w:val="0"/>
          <w:color w:val="FF0000"/>
          <w:sz w:val="20"/>
          <w:szCs w:val="20"/>
        </w:rPr>
        <w:t xml:space="preserve"> or</w:t>
      </w:r>
      <w:r w:rsidRPr="002A4ECD">
        <w:rPr>
          <w:rFonts w:ascii="Arial" w:hAnsi="Arial" w:cs="Arial"/>
          <w:b/>
          <w:snapToGrid w:val="0"/>
          <w:color w:val="FF0000"/>
          <w:sz w:val="20"/>
          <w:szCs w:val="20"/>
        </w:rPr>
        <w:t xml:space="preserve"> DC Converter </w:t>
      </w:r>
      <w:r w:rsidRPr="002A4ECD">
        <w:rPr>
          <w:rFonts w:ascii="Arial" w:hAnsi="Arial" w:cs="Arial"/>
          <w:snapToGrid w:val="0"/>
          <w:color w:val="FF0000"/>
          <w:sz w:val="20"/>
          <w:szCs w:val="20"/>
        </w:rPr>
        <w:t xml:space="preserve">which has tripped off or de-loaded coincident with a fault as described in CC.6.3.15 or ECC.6.3.15, resolve any non-compliance, within a reasonable period.  </w:t>
      </w:r>
    </w:p>
    <w:p w14:paraId="00B4C746" w14:textId="050004F8" w:rsidR="00C52320" w:rsidRPr="002A4ECD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1418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</w:rPr>
      </w:pP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For the avoidance of doubt in the case of CC.6.3.15 or ECC.6.3.15</w:t>
      </w:r>
      <w:r w:rsidR="001D43DA" w:rsidRPr="002A4EC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 xml:space="preserve"> </w:t>
      </w:r>
      <w:r w:rsidR="001D43DA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as applicable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, the explanation may indicate that</w:t>
      </w:r>
      <w:r w:rsidR="00C52320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: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</w:p>
    <w:p w14:paraId="5B9EDDDD" w14:textId="324299D4" w:rsidR="00C52320" w:rsidRPr="002A4ECD" w:rsidRDefault="00063437" w:rsidP="0006030D">
      <w:pPr>
        <w:pStyle w:val="ListParagraph"/>
        <w:keepLines/>
        <w:widowControl w:val="0"/>
        <w:numPr>
          <w:ilvl w:val="0"/>
          <w:numId w:val="7"/>
        </w:numPr>
        <w:tabs>
          <w:tab w:val="left" w:pos="1843"/>
        </w:tabs>
        <w:spacing w:after="120" w:line="264" w:lineRule="auto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</w:rPr>
      </w:pP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the </w:t>
      </w:r>
      <w:r w:rsidRPr="002A4EC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>User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ha</w:t>
      </w:r>
      <w:r w:rsidR="000D33C7">
        <w:rPr>
          <w:rFonts w:ascii="Arial" w:eastAsia="Times New Roman" w:hAnsi="Arial" w:cs="Arial"/>
          <w:snapToGrid w:val="0"/>
          <w:color w:val="FF0000"/>
          <w:sz w:val="20"/>
          <w:szCs w:val="20"/>
        </w:rPr>
        <w:t>s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complied with CC.6.3.15 or ECC.6.3.15</w:t>
      </w:r>
      <w:r w:rsidR="004F5E5E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as applicable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on the basis that the </w:t>
      </w:r>
      <w:r w:rsidRPr="002A4EC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>User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has provided recordings to show the voltage waveform</w:t>
      </w:r>
      <w:r w:rsidR="004F5E5E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during the fault was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beyond the conditions specified in CC.6.3.15 or ECC.6.3.15 as applicable</w:t>
      </w:r>
      <w:r w:rsidR="004F5E5E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;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or </w:t>
      </w:r>
    </w:p>
    <w:p w14:paraId="3FAEF2DA" w14:textId="5AF96D63" w:rsidR="00C52320" w:rsidRPr="002A4ECD" w:rsidRDefault="00063437" w:rsidP="00C52320">
      <w:pPr>
        <w:pStyle w:val="ListParagraph"/>
        <w:keepLines/>
        <w:widowControl w:val="0"/>
        <w:numPr>
          <w:ilvl w:val="0"/>
          <w:numId w:val="7"/>
        </w:numPr>
        <w:tabs>
          <w:tab w:val="left" w:pos="1843"/>
        </w:tabs>
        <w:spacing w:after="120" w:line="264" w:lineRule="auto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</w:rPr>
      </w:pP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the </w:t>
      </w:r>
      <w:r w:rsidRPr="002A4EC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>User</w:t>
      </w:r>
      <w:r w:rsidR="004F5E5E" w:rsidRPr="002A4ECD">
        <w:rPr>
          <w:rFonts w:ascii="Arial" w:eastAsia="Times New Roman" w:hAnsi="Arial" w:cs="Arial"/>
          <w:bCs/>
          <w:snapToGrid w:val="0"/>
          <w:color w:val="FF0000"/>
          <w:sz w:val="20"/>
          <w:szCs w:val="20"/>
        </w:rPr>
        <w:t>’s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  <w:r w:rsidR="004F5E5E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C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onnection </w:t>
      </w:r>
      <w:r w:rsidR="004F5E5E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P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oint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ha</w:t>
      </w:r>
      <w:r w:rsidR="004F5E5E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d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been de-energised by receipt of an </w:t>
      </w:r>
      <w:proofErr w:type="spellStart"/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intertrip</w:t>
      </w:r>
      <w:proofErr w:type="spellEnd"/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  <w:r w:rsidR="00C52320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signal 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from the </w:t>
      </w:r>
      <w:r w:rsidRPr="002A4EC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>National Electricity Transmission System</w:t>
      </w:r>
      <w:r w:rsidR="004F5E5E" w:rsidRPr="002A4EC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>;</w:t>
      </w:r>
      <w:r w:rsidRPr="002A4EC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 xml:space="preserve"> 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or </w:t>
      </w:r>
    </w:p>
    <w:p w14:paraId="1471785F" w14:textId="3776E637" w:rsidR="00063437" w:rsidRPr="002A4ECD" w:rsidRDefault="00063437" w:rsidP="0006030D">
      <w:pPr>
        <w:pStyle w:val="ListParagraph"/>
        <w:keepLines/>
        <w:widowControl w:val="0"/>
        <w:numPr>
          <w:ilvl w:val="0"/>
          <w:numId w:val="7"/>
        </w:numPr>
        <w:tabs>
          <w:tab w:val="left" w:pos="1843"/>
        </w:tabs>
        <w:spacing w:after="120" w:line="264" w:lineRule="auto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</w:rPr>
      </w:pP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that other information has been shared between the </w:t>
      </w:r>
      <w:r w:rsidRPr="002A4EC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>User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and </w:t>
      </w:r>
      <w:r w:rsidRPr="002A4EC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>The Company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enabling agreement between them that compliance with CC.6.3.15 or ECC.6.3.15 </w:t>
      </w:r>
      <w:r w:rsidR="004F5E5E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as applicable 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has been confirmed.</w:t>
      </w:r>
    </w:p>
    <w:p w14:paraId="388CA879" w14:textId="77777777" w:rsidR="000A3620" w:rsidRDefault="000A3620" w:rsidP="000A3620">
      <w:pPr>
        <w:pStyle w:val="Level2Text"/>
        <w:ind w:left="1418" w:firstLine="0"/>
        <w:rPr>
          <w:rFonts w:cs="Arial"/>
          <w:color w:val="FF0000"/>
          <w:u w:val="single"/>
        </w:rPr>
      </w:pPr>
    </w:p>
    <w:p w14:paraId="4C3B6C7D" w14:textId="205CD6F2" w:rsidR="000A3620" w:rsidRPr="002A4ECD" w:rsidRDefault="000A3620" w:rsidP="000A3620">
      <w:pPr>
        <w:pStyle w:val="Level2Text"/>
        <w:ind w:left="1418" w:firstLine="0"/>
        <w:rPr>
          <w:rFonts w:cs="Arial"/>
          <w:color w:val="FF0000"/>
        </w:rPr>
      </w:pPr>
      <w:r w:rsidRPr="002A4ECD">
        <w:rPr>
          <w:rFonts w:cs="Arial"/>
          <w:color w:val="FF0000"/>
        </w:rPr>
        <w:t xml:space="preserve">Data </w:t>
      </w:r>
      <w:r w:rsidR="004F5E5E" w:rsidRPr="002A4ECD">
        <w:rPr>
          <w:rFonts w:cs="Arial"/>
          <w:color w:val="FF0000"/>
        </w:rPr>
        <w:t>relating to</w:t>
      </w:r>
      <w:r w:rsidRPr="002A4ECD">
        <w:rPr>
          <w:rFonts w:cs="Arial"/>
          <w:color w:val="FF0000"/>
        </w:rPr>
        <w:t xml:space="preserve"> a fault on the </w:t>
      </w:r>
      <w:r w:rsidR="004F5E5E" w:rsidRPr="002A4ECD">
        <w:rPr>
          <w:rFonts w:cs="Arial"/>
          <w:b/>
          <w:bCs/>
          <w:color w:val="FF0000"/>
        </w:rPr>
        <w:t>T</w:t>
      </w:r>
      <w:r w:rsidRPr="002A4ECD">
        <w:rPr>
          <w:rFonts w:cs="Arial"/>
          <w:b/>
          <w:bCs/>
          <w:color w:val="FF0000"/>
        </w:rPr>
        <w:t xml:space="preserve">ransmission </w:t>
      </w:r>
      <w:r w:rsidR="004F5E5E" w:rsidRPr="002A4ECD">
        <w:rPr>
          <w:rFonts w:cs="Arial"/>
          <w:b/>
          <w:bCs/>
          <w:color w:val="FF0000"/>
        </w:rPr>
        <w:t>S</w:t>
      </w:r>
      <w:r w:rsidRPr="002A4ECD">
        <w:rPr>
          <w:rFonts w:cs="Arial"/>
          <w:b/>
          <w:bCs/>
          <w:color w:val="FF0000"/>
        </w:rPr>
        <w:t>ystem</w:t>
      </w:r>
      <w:r w:rsidRPr="002A4ECD">
        <w:rPr>
          <w:rFonts w:cs="Arial"/>
          <w:color w:val="FF0000"/>
        </w:rPr>
        <w:t xml:space="preserve"> that </w:t>
      </w:r>
      <w:r w:rsidRPr="002A4ECD">
        <w:rPr>
          <w:rFonts w:cs="Arial"/>
          <w:b/>
          <w:color w:val="FF0000"/>
        </w:rPr>
        <w:t>The Company</w:t>
      </w:r>
      <w:r w:rsidRPr="002A4ECD">
        <w:rPr>
          <w:rFonts w:cs="Arial"/>
          <w:color w:val="FF0000"/>
        </w:rPr>
        <w:t xml:space="preserve"> believes has led to </w:t>
      </w:r>
      <w:r w:rsidRPr="002A4ECD">
        <w:rPr>
          <w:rFonts w:cs="Arial"/>
          <w:b/>
          <w:bCs/>
          <w:color w:val="FF0000"/>
        </w:rPr>
        <w:t>Users</w:t>
      </w:r>
      <w:r w:rsidRPr="002A4ECD">
        <w:rPr>
          <w:rFonts w:cs="Arial"/>
          <w:color w:val="FF0000"/>
        </w:rPr>
        <w:t xml:space="preserve"> to co-incidentally trip or de-load is to be provided by </w:t>
      </w:r>
      <w:r w:rsidRPr="002A4ECD">
        <w:rPr>
          <w:rFonts w:cs="Arial"/>
          <w:b/>
          <w:color w:val="FF0000"/>
        </w:rPr>
        <w:t>The Company</w:t>
      </w:r>
      <w:r w:rsidRPr="002A4ECD">
        <w:rPr>
          <w:rFonts w:cs="Arial"/>
          <w:color w:val="FF0000"/>
        </w:rPr>
        <w:t xml:space="preserve">, where available, in a file structure as agreed with the </w:t>
      </w:r>
      <w:r w:rsidRPr="002A4ECD">
        <w:rPr>
          <w:rFonts w:cs="Arial"/>
          <w:b/>
          <w:color w:val="FF0000"/>
        </w:rPr>
        <w:t>User</w:t>
      </w:r>
      <w:r w:rsidRPr="002A4ECD">
        <w:rPr>
          <w:rFonts w:cs="Arial"/>
          <w:color w:val="FF0000"/>
        </w:rPr>
        <w:t xml:space="preserve">. Where waveform data is available, this will be obtained from the recorder electrically closest to the </w:t>
      </w:r>
      <w:r w:rsidRPr="002A4ECD">
        <w:rPr>
          <w:rFonts w:cs="Arial"/>
          <w:b/>
          <w:color w:val="FF0000"/>
        </w:rPr>
        <w:t>User</w:t>
      </w:r>
      <w:r w:rsidRPr="002A4ECD">
        <w:rPr>
          <w:rFonts w:cs="Arial"/>
          <w:color w:val="FF0000"/>
        </w:rPr>
        <w:t xml:space="preserve">’s </w:t>
      </w:r>
      <w:r w:rsidRPr="002A4ECD">
        <w:rPr>
          <w:rFonts w:cs="Arial"/>
          <w:b/>
          <w:color w:val="FF0000"/>
        </w:rPr>
        <w:t>Connection Point</w:t>
      </w:r>
      <w:r w:rsidRPr="002A4ECD">
        <w:rPr>
          <w:rFonts w:cs="Arial"/>
          <w:color w:val="FF0000"/>
        </w:rPr>
        <w:t xml:space="preserve">. </w:t>
      </w:r>
    </w:p>
    <w:p w14:paraId="5049CDE1" w14:textId="611AA2CF" w:rsidR="00063437" w:rsidRPr="008D6E11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1418" w:hanging="1418"/>
        <w:jc w:val="both"/>
        <w:rPr>
          <w:rFonts w:ascii="Arial" w:eastAsia="Arial" w:hAnsi="Arial" w:cs="Arial"/>
          <w:snapToGrid w:val="0"/>
          <w:color w:val="FF0000"/>
          <w:sz w:val="20"/>
          <w:szCs w:val="20"/>
          <w:u w:val="single"/>
        </w:rPr>
      </w:pPr>
      <w:r w:rsidRPr="008D6E11">
        <w:rPr>
          <w:rFonts w:ascii="Arial" w:eastAsia="Times New Roman" w:hAnsi="Arial" w:cs="Arial"/>
          <w:snapToGrid w:val="0"/>
          <w:sz w:val="20"/>
          <w:szCs w:val="20"/>
        </w:rPr>
        <w:lastRenderedPageBreak/>
        <w:t xml:space="preserve">OC5.4.2.3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ab/>
      </w:r>
      <w:bookmarkStart w:id="0" w:name="_Hlk80970984"/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In the event of a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User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being notified </w:t>
      </w:r>
      <w:bookmarkStart w:id="1" w:name="_Hlk80960122"/>
      <w:r w:rsidR="00C51727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under OC5.4.2.1 </w:t>
      </w:r>
      <w:bookmarkEnd w:id="1"/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by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The Company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of a potential failure </w:t>
      </w:r>
      <w:r w:rsidR="00884DBB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to comply </w:t>
      </w:r>
      <w:bookmarkStart w:id="2" w:name="_Hlk81838219"/>
      <w:r w:rsidR="00A62DF6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with CC6.3.15 or ECC6.3.15 as applicable</w:t>
      </w:r>
      <w:bookmarkEnd w:id="2"/>
      <w:r w:rsidR="00A62DF6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and </w:t>
      </w:r>
      <w:r w:rsidR="000D33C7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where </w:t>
      </w:r>
      <w:r w:rsidR="00052094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the </w:t>
      </w:r>
      <w:r w:rsidR="00052094" w:rsidRPr="000D33C7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User</w:t>
      </w:r>
      <w:r w:rsidR="00052094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is required to </w:t>
      </w:r>
      <w:r w:rsidR="000D33C7">
        <w:rPr>
          <w:rFonts w:ascii="Arial" w:eastAsia="Times New Roman" w:hAnsi="Arial" w:cs="Arial"/>
          <w:snapToGrid w:val="0"/>
          <w:color w:val="FF0000"/>
          <w:sz w:val="20"/>
          <w:szCs w:val="20"/>
        </w:rPr>
        <w:t>provide</w:t>
      </w:r>
      <w:r w:rsidR="00052094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a</w:t>
      </w:r>
      <w:r w:rsidR="00BC1F3E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n explanation </w:t>
      </w:r>
      <w:r w:rsidR="00884DBB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as</w:t>
      </w:r>
      <w:r w:rsidR="006B3F54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described in OC5.4.2.2(c)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, </w:t>
      </w:r>
      <w:bookmarkEnd w:id="0"/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the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User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may be required to take action to restrict the output of their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Power Generating Module, Generating Unit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(excluding a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Power Park Unit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),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CCGT Module, Power Park Module, OTSUA 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(prior to the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 OTSUA Transfer Time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),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HVDC Equipment 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or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 DC Converter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to a level and for a period as agreed with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The Company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  <w:r w:rsidR="00917AAB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in accordance with the conditions 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set out in </w:t>
      </w:r>
      <w:r w:rsidRPr="002A4ECD">
        <w:rPr>
          <w:rFonts w:ascii="Arial" w:eastAsia="Times New Roman" w:hAnsi="Arial" w:cs="Arial"/>
          <w:bCs/>
          <w:snapToGrid w:val="0"/>
          <w:color w:val="FF0000"/>
          <w:sz w:val="20"/>
          <w:szCs w:val="20"/>
        </w:rPr>
        <w:t>OC5.4.2.3.1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or until an explanation has been provided by the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User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and agreed between the </w:t>
      </w:r>
      <w:r w:rsidRPr="002A4EC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>User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and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The Company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as set out under </w:t>
      </w:r>
      <w:r w:rsidRPr="002A4ECD">
        <w:rPr>
          <w:rFonts w:ascii="Arial" w:eastAsia="Arial" w:hAnsi="Arial" w:cs="Arial"/>
          <w:bCs/>
          <w:snapToGrid w:val="0"/>
          <w:color w:val="FF0000"/>
          <w:sz w:val="20"/>
          <w:szCs w:val="20"/>
        </w:rPr>
        <w:t>OC5.4.2.2</w:t>
      </w:r>
      <w:r w:rsidR="006B3F54" w:rsidRPr="002A4ECD">
        <w:rPr>
          <w:rFonts w:ascii="Arial" w:eastAsia="Arial" w:hAnsi="Arial" w:cs="Arial"/>
          <w:bCs/>
          <w:snapToGrid w:val="0"/>
          <w:color w:val="FF0000"/>
          <w:sz w:val="20"/>
          <w:szCs w:val="20"/>
        </w:rPr>
        <w:t>(c)</w:t>
      </w:r>
      <w:r w:rsidRPr="002A4ECD">
        <w:rPr>
          <w:rFonts w:ascii="Arial" w:eastAsia="Arial" w:hAnsi="Arial" w:cs="Arial"/>
          <w:snapToGrid w:val="0"/>
          <w:color w:val="FF0000"/>
          <w:sz w:val="20"/>
          <w:szCs w:val="20"/>
        </w:rPr>
        <w:t>.</w:t>
      </w:r>
      <w:r w:rsidRPr="008D6E11">
        <w:rPr>
          <w:rFonts w:ascii="Arial" w:eastAsia="Arial" w:hAnsi="Arial" w:cs="Arial"/>
          <w:snapToGrid w:val="0"/>
          <w:color w:val="FF0000"/>
          <w:sz w:val="20"/>
          <w:szCs w:val="20"/>
          <w:u w:val="single"/>
        </w:rPr>
        <w:t xml:space="preserve">  </w:t>
      </w:r>
    </w:p>
    <w:p w14:paraId="3A6C1CA3" w14:textId="77777777" w:rsidR="00063437" w:rsidRPr="008D6E11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1418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  <w:u w:val="single"/>
        </w:rPr>
      </w:pPr>
    </w:p>
    <w:p w14:paraId="43236066" w14:textId="5812D9AD" w:rsidR="00063437" w:rsidRPr="002A4ECD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1418" w:hanging="1418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</w:rPr>
      </w:pP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OC5.4.2.3.1 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ab/>
        <w:t xml:space="preserve">Restrictions to the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User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’s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Transmission Entry Capacity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of their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Power Generating Module, Generating Unit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(excluding a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Power Park Unit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),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CCGT Module, Power Park Module, OTSUA 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(prior to the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 OTSUA Transfer Time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)</w:t>
      </w:r>
      <w:r w:rsidR="00C51727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,</w:t>
      </w:r>
      <w:r w:rsidR="00C51727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 HVDC Equipment </w:t>
      </w:r>
      <w:r w:rsidR="00C51727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or</w:t>
      </w:r>
      <w:r w:rsidR="00C51727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 DC Converter</w:t>
      </w:r>
      <w:r w:rsidR="00CE43AF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,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following notification </w:t>
      </w:r>
      <w:r w:rsidR="00452FE4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under OC5.4.2.1 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by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The Company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of a potential failure to comply with </w:t>
      </w:r>
      <w:r w:rsidR="00A62DF6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CC6.3.15 or ECC6.3.15 as applicable </w:t>
      </w:r>
      <w:r w:rsidR="003131B8">
        <w:rPr>
          <w:rFonts w:ascii="Arial" w:eastAsia="Times New Roman" w:hAnsi="Arial" w:cs="Arial"/>
          <w:snapToGrid w:val="0"/>
          <w:color w:val="FF0000"/>
          <w:sz w:val="20"/>
          <w:szCs w:val="20"/>
        </w:rPr>
        <w:t>will apply as follows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where an explanation has yet to be agreed</w:t>
      </w:r>
      <w:r w:rsidR="00BB2DAE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between </w:t>
      </w:r>
      <w:r w:rsidR="00BB2DAE" w:rsidRPr="002A4EC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>The Company</w:t>
      </w:r>
      <w:r w:rsidR="00BB2DAE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and the </w:t>
      </w:r>
      <w:r w:rsidR="00BB2DAE" w:rsidRPr="002A4EC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>User</w:t>
      </w:r>
      <w:r w:rsidR="00A62DF6" w:rsidRPr="002A4EC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 xml:space="preserve"> </w:t>
      </w:r>
      <w:r w:rsidR="00A62DF6" w:rsidRPr="002A4ECD">
        <w:rPr>
          <w:rFonts w:ascii="Arial" w:eastAsia="Times New Roman" w:hAnsi="Arial" w:cs="Arial"/>
          <w:bCs/>
          <w:snapToGrid w:val="0"/>
          <w:color w:val="FF0000"/>
          <w:sz w:val="20"/>
          <w:szCs w:val="20"/>
        </w:rPr>
        <w:t xml:space="preserve">as </w:t>
      </w:r>
      <w:r w:rsidR="00A62DF6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described in OC5.4.2.2(c)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.</w:t>
      </w:r>
    </w:p>
    <w:p w14:paraId="60936245" w14:textId="3F35F75B" w:rsidR="00063437" w:rsidRPr="002A4ECD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1418" w:hanging="1418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</w:rPr>
      </w:pP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ab/>
        <w:t>Where the export capability is:</w:t>
      </w:r>
    </w:p>
    <w:p w14:paraId="112DCEBB" w14:textId="29DAEC32" w:rsidR="00063437" w:rsidRPr="002A4ECD" w:rsidRDefault="00063437" w:rsidP="00FB2735">
      <w:pPr>
        <w:keepLines/>
        <w:widowControl w:val="0"/>
        <w:numPr>
          <w:ilvl w:val="0"/>
          <w:numId w:val="2"/>
        </w:numPr>
        <w:tabs>
          <w:tab w:val="left" w:pos="1843"/>
        </w:tabs>
        <w:spacing w:before="120" w:after="120" w:line="264" w:lineRule="auto"/>
        <w:ind w:left="2127" w:hanging="709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</w:rPr>
      </w:pP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less than </w:t>
      </w:r>
      <w:r w:rsidR="004F5E5E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or equal to 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100MW, no immediate export limitation will be </w:t>
      </w:r>
      <w:proofErr w:type="gramStart"/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applied;</w:t>
      </w:r>
      <w:proofErr w:type="gramEnd"/>
    </w:p>
    <w:p w14:paraId="2560915C" w14:textId="0C373E10" w:rsidR="00063437" w:rsidRPr="002A4ECD" w:rsidRDefault="00063437" w:rsidP="00FB2735">
      <w:pPr>
        <w:keepLines/>
        <w:widowControl w:val="0"/>
        <w:numPr>
          <w:ilvl w:val="0"/>
          <w:numId w:val="2"/>
        </w:numPr>
        <w:tabs>
          <w:tab w:val="left" w:pos="1843"/>
        </w:tabs>
        <w:spacing w:before="120" w:after="120" w:line="264" w:lineRule="auto"/>
        <w:ind w:left="1843" w:hanging="425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</w:rPr>
      </w:pPr>
      <w:bookmarkStart w:id="3" w:name="_Hlk78977894"/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more than 100MW, and the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User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is in receipt of a</w:t>
      </w:r>
      <w:r w:rsidR="00665E54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  <w:r w:rsidR="00665E54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Final Operational Notification </w:t>
      </w:r>
      <w:r w:rsidR="00665E54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(</w:t>
      </w:r>
      <w:r w:rsidR="00665E54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FON</w:t>
      </w:r>
      <w:r w:rsidR="00665E54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) or an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Interim</w:t>
      </w:r>
      <w:r w:rsidR="00FB2735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Operational Notification</w:t>
      </w:r>
      <w:r w:rsidR="00FB2735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 </w:t>
      </w:r>
      <w:r w:rsidR="00FB2735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(</w:t>
      </w:r>
      <w:r w:rsidR="00FB2735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ION</w:t>
      </w:r>
      <w:r w:rsidR="00FB2735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)</w:t>
      </w:r>
      <w:r w:rsidR="00A62DF6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or a </w:t>
      </w:r>
      <w:r w:rsidR="00A62DF6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Limited</w:t>
      </w:r>
      <w:r w:rsidR="00A62DF6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  <w:r w:rsidR="00A62DF6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Operational Notification </w:t>
      </w:r>
      <w:r w:rsidR="00A62DF6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(</w:t>
      </w:r>
      <w:r w:rsidR="00A62DF6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LON</w:t>
      </w:r>
      <w:r w:rsidR="00A62DF6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)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, then an immediate export limitation will be applied to a level </w:t>
      </w:r>
      <w:r w:rsidR="00A62DF6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which is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the lowest of:</w:t>
      </w:r>
    </w:p>
    <w:bookmarkEnd w:id="3"/>
    <w:p w14:paraId="04B53D75" w14:textId="69EFA3D5" w:rsidR="00063437" w:rsidRPr="002A4ECD" w:rsidRDefault="00063437" w:rsidP="00FB2735">
      <w:pPr>
        <w:pStyle w:val="ListParagraph"/>
        <w:keepLines/>
        <w:widowControl w:val="0"/>
        <w:numPr>
          <w:ilvl w:val="1"/>
          <w:numId w:val="2"/>
        </w:numPr>
        <w:tabs>
          <w:tab w:val="left" w:pos="1843"/>
        </w:tabs>
        <w:spacing w:after="120" w:line="264" w:lineRule="auto"/>
        <w:ind w:left="2552" w:hanging="567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</w:rPr>
      </w:pP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70% of the unrestricted export capability; or </w:t>
      </w:r>
    </w:p>
    <w:p w14:paraId="38036C79" w14:textId="2D82424F" w:rsidR="00063437" w:rsidRPr="002A4ECD" w:rsidRDefault="00063437" w:rsidP="00FB2735">
      <w:pPr>
        <w:pStyle w:val="ListParagraph"/>
        <w:keepLines/>
        <w:widowControl w:val="0"/>
        <w:numPr>
          <w:ilvl w:val="1"/>
          <w:numId w:val="2"/>
        </w:numPr>
        <w:tabs>
          <w:tab w:val="left" w:pos="1843"/>
        </w:tabs>
        <w:spacing w:after="120" w:line="264" w:lineRule="auto"/>
        <w:ind w:left="2552" w:hanging="567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</w:rPr>
      </w:pP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the prevailing largest infeed loss risk, as determined by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The Company</w:t>
      </w:r>
    </w:p>
    <w:p w14:paraId="23D28204" w14:textId="3925C764" w:rsidR="00063437" w:rsidRPr="002A4ECD" w:rsidRDefault="00063437" w:rsidP="00BC5C8B">
      <w:pPr>
        <w:keepLines/>
        <w:widowControl w:val="0"/>
        <w:tabs>
          <w:tab w:val="left" w:pos="1843"/>
        </w:tabs>
        <w:spacing w:after="120" w:line="264" w:lineRule="auto"/>
        <w:ind w:left="1985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</w:rPr>
      </w:pP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The export limit will however not be reduced below 100 MW</w:t>
      </w:r>
      <w:r w:rsidR="00903FF7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.</w:t>
      </w:r>
    </w:p>
    <w:p w14:paraId="5DED6625" w14:textId="309F0F4C" w:rsidR="00063437" w:rsidRPr="002A4ECD" w:rsidRDefault="00063437" w:rsidP="00063437">
      <w:pPr>
        <w:keepLines/>
        <w:widowControl w:val="0"/>
        <w:tabs>
          <w:tab w:val="left" w:pos="1418"/>
        </w:tabs>
        <w:spacing w:after="120" w:line="264" w:lineRule="auto"/>
        <w:ind w:left="1353" w:hanging="1353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</w:rPr>
      </w:pP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OC5.4.2.3.2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ab/>
        <w:t>In all cases</w:t>
      </w:r>
      <w:r w:rsidR="00EB4F3C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where OC</w:t>
      </w:r>
      <w:r w:rsidR="007D58AF">
        <w:rPr>
          <w:rFonts w:ascii="Arial" w:eastAsia="Times New Roman" w:hAnsi="Arial" w:cs="Arial"/>
          <w:snapToGrid w:val="0"/>
          <w:color w:val="FF0000"/>
          <w:sz w:val="20"/>
          <w:szCs w:val="20"/>
        </w:rPr>
        <w:t>5.4.2.3 applies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, the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User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or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Network Operator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shall within three months of the </w:t>
      </w:r>
      <w:r w:rsidR="00903FF7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receipt of a 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notification </w:t>
      </w:r>
      <w:r w:rsidR="00452FE4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under OC5.4.2.1 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from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The Company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investigate and, where necessary, resolve any non-compliance and share this information with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The Company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.</w:t>
      </w:r>
    </w:p>
    <w:p w14:paraId="4A7B51E9" w14:textId="3603F4ED" w:rsidR="00063437" w:rsidRPr="002A4ECD" w:rsidRDefault="00063437" w:rsidP="00063437">
      <w:pPr>
        <w:keepLines/>
        <w:widowControl w:val="0"/>
        <w:tabs>
          <w:tab w:val="left" w:pos="1418"/>
        </w:tabs>
        <w:spacing w:after="120" w:line="264" w:lineRule="auto"/>
        <w:ind w:left="1353" w:hanging="1353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</w:rPr>
      </w:pP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OC5.4.2.3.3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ab/>
        <w:t xml:space="preserve">Where such an investigation and any necessary actions resolve </w:t>
      </w:r>
      <w:r w:rsidR="00903FF7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the non-compliance</w:t>
      </w:r>
      <w:r w:rsid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(by agreement between the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User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or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Network Operator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and 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The Company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), any</w:t>
      </w:r>
      <w:r w:rsidR="00903FF7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export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restrictions as applied through </w:t>
      </w:r>
      <w:r w:rsidRPr="002A4ECD">
        <w:rPr>
          <w:rFonts w:ascii="Arial" w:eastAsia="Times New Roman" w:hAnsi="Arial" w:cs="Arial"/>
          <w:bCs/>
          <w:snapToGrid w:val="0"/>
          <w:color w:val="FF0000"/>
          <w:sz w:val="20"/>
          <w:szCs w:val="20"/>
        </w:rPr>
        <w:t>OC5.4.2.3.1</w:t>
      </w:r>
      <w:r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 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will be immediately removed.</w:t>
      </w:r>
    </w:p>
    <w:p w14:paraId="07A42E8D" w14:textId="25F05FEE" w:rsidR="00063437" w:rsidRPr="008D6E11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1418" w:hanging="1418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8D6E11">
        <w:rPr>
          <w:rFonts w:ascii="Arial" w:eastAsia="Times New Roman" w:hAnsi="Arial" w:cs="Arial"/>
          <w:snapToGrid w:val="0"/>
          <w:sz w:val="20"/>
          <w:szCs w:val="20"/>
        </w:rPr>
        <w:t>OC5.4.2</w:t>
      </w:r>
      <w:r w:rsidR="00736599">
        <w:rPr>
          <w:rFonts w:ascii="Arial" w:eastAsia="Times New Roman" w:hAnsi="Arial" w:cs="Arial"/>
          <w:snapToGrid w:val="0"/>
          <w:sz w:val="20"/>
          <w:szCs w:val="20"/>
        </w:rPr>
        <w:t>.</w:t>
      </w:r>
      <w:r w:rsidR="008B74DA" w:rsidRPr="008B74DA">
        <w:rPr>
          <w:rFonts w:ascii="Arial" w:eastAsia="Times New Roman" w:hAnsi="Arial" w:cs="Arial"/>
          <w:strike/>
          <w:snapToGrid w:val="0"/>
          <w:color w:val="FF0000"/>
          <w:sz w:val="20"/>
          <w:szCs w:val="20"/>
        </w:rPr>
        <w:t>3</w:t>
      </w:r>
      <w:r w:rsidR="008B74DA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 w:rsidR="00736599" w:rsidRPr="008B74DA">
        <w:rPr>
          <w:rFonts w:ascii="Arial" w:eastAsia="Times New Roman" w:hAnsi="Arial" w:cs="Arial"/>
          <w:snapToGrid w:val="0"/>
          <w:color w:val="FF0000"/>
          <w:sz w:val="20"/>
          <w:szCs w:val="20"/>
        </w:rPr>
        <w:t>4</w:t>
      </w:r>
      <w:r w:rsidR="00834F0D">
        <w:rPr>
          <w:rFonts w:ascii="Arial" w:eastAsia="Times New Roman" w:hAnsi="Arial" w:cs="Arial"/>
          <w:snapToGrid w:val="0"/>
          <w:sz w:val="20"/>
          <w:szCs w:val="20"/>
        </w:rPr>
        <w:tab/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The Company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and the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User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will </w:t>
      </w:r>
      <w:r w:rsidRPr="008D6E11">
        <w:rPr>
          <w:rFonts w:ascii="Arial" w:eastAsia="Times New Roman" w:hAnsi="Arial" w:cs="Arial"/>
          <w:strike/>
          <w:snapToGrid w:val="0"/>
          <w:color w:val="FF0000"/>
          <w:sz w:val="20"/>
          <w:szCs w:val="20"/>
        </w:rPr>
        <w:t xml:space="preserve">then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discuss </w:t>
      </w:r>
      <w:r w:rsidRPr="00846DF6">
        <w:rPr>
          <w:rFonts w:ascii="Arial" w:eastAsia="Times New Roman" w:hAnsi="Arial" w:cs="Arial"/>
          <w:snapToGrid w:val="0"/>
          <w:color w:val="FF0000"/>
          <w:sz w:val="20"/>
          <w:szCs w:val="20"/>
          <w:u w:val="single"/>
        </w:rPr>
        <w:t>any</w:t>
      </w:r>
      <w:r w:rsidR="00846DF6" w:rsidRPr="00846DF6">
        <w:rPr>
          <w:rFonts w:ascii="Arial" w:eastAsia="Times New Roman" w:hAnsi="Arial" w:cs="Arial"/>
          <w:snapToGrid w:val="0"/>
          <w:color w:val="FF0000"/>
          <w:sz w:val="20"/>
          <w:szCs w:val="20"/>
          <w:u w:val="single"/>
        </w:rPr>
        <w:t xml:space="preserve"> </w:t>
      </w:r>
      <w:r w:rsidRPr="008D6E11">
        <w:rPr>
          <w:rFonts w:ascii="Arial" w:eastAsia="Times New Roman" w:hAnsi="Arial" w:cs="Arial"/>
          <w:strike/>
          <w:snapToGrid w:val="0"/>
          <w:color w:val="FF0000"/>
          <w:sz w:val="20"/>
          <w:szCs w:val="20"/>
        </w:rPr>
        <w:t>the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action the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User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proposes to take and will endeavour to reach agreement as to:</w:t>
      </w:r>
    </w:p>
    <w:p w14:paraId="409A7F03" w14:textId="77777777" w:rsidR="00063437" w:rsidRPr="008D6E11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1418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8D6E11">
        <w:rPr>
          <w:rFonts w:ascii="Arial" w:eastAsia="Times New Roman" w:hAnsi="Arial" w:cs="Arial"/>
          <w:snapToGrid w:val="0"/>
          <w:sz w:val="20"/>
          <w:szCs w:val="20"/>
        </w:rPr>
        <w:t>(a)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ab/>
        <w:t xml:space="preserve">any </w:t>
      </w:r>
      <w:proofErr w:type="gramStart"/>
      <w:r w:rsidRPr="008D6E11">
        <w:rPr>
          <w:rFonts w:ascii="Arial" w:eastAsia="Times New Roman" w:hAnsi="Arial" w:cs="Arial"/>
          <w:snapToGrid w:val="0"/>
          <w:sz w:val="20"/>
          <w:szCs w:val="20"/>
        </w:rPr>
        <w:t>short term</w:t>
      </w:r>
      <w:proofErr w:type="gramEnd"/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operational measures necessary to protect other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Users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>; and</w:t>
      </w:r>
    </w:p>
    <w:p w14:paraId="02075AE1" w14:textId="77777777" w:rsidR="00063437" w:rsidRPr="008D6E11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1418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8D6E11">
        <w:rPr>
          <w:rFonts w:ascii="Arial" w:eastAsia="Times New Roman" w:hAnsi="Arial" w:cs="Arial"/>
          <w:snapToGrid w:val="0"/>
          <w:sz w:val="20"/>
          <w:szCs w:val="20"/>
        </w:rPr>
        <w:t>(b)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ab/>
        <w:t>the parameters which are to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 xml:space="preserve">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be submitted for the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BM Unit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and the effective 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time(s) and</w:t>
      </w:r>
      <w:r w:rsidRPr="008D6E11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>date(s) for the application of the agreed parameters.</w:t>
      </w:r>
    </w:p>
    <w:p w14:paraId="736221D7" w14:textId="77777777" w:rsidR="00BC5C8B" w:rsidRDefault="00BC5C8B" w:rsidP="00063437">
      <w:pPr>
        <w:keepLines/>
        <w:widowControl w:val="0"/>
        <w:tabs>
          <w:tab w:val="left" w:pos="1843"/>
        </w:tabs>
        <w:spacing w:after="120" w:line="264" w:lineRule="auto"/>
        <w:ind w:left="1418" w:hanging="425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  <w:u w:val="single"/>
        </w:rPr>
      </w:pPr>
    </w:p>
    <w:p w14:paraId="2448B84F" w14:textId="119CF70B" w:rsidR="00BC5C8B" w:rsidRPr="002A4ECD" w:rsidRDefault="00BC5C8B" w:rsidP="00BC5C8B">
      <w:pPr>
        <w:keepLines/>
        <w:widowControl w:val="0"/>
        <w:tabs>
          <w:tab w:val="left" w:pos="1843"/>
        </w:tabs>
        <w:spacing w:after="120" w:line="264" w:lineRule="auto"/>
        <w:ind w:left="1418" w:hanging="1418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2A4ECD">
        <w:rPr>
          <w:rFonts w:ascii="Arial" w:eastAsia="Times New Roman" w:hAnsi="Arial" w:cs="Arial"/>
          <w:snapToGrid w:val="0"/>
          <w:sz w:val="20"/>
          <w:szCs w:val="20"/>
        </w:rPr>
        <w:t>OC5.4.2.</w:t>
      </w:r>
      <w:r w:rsidR="008B74DA" w:rsidRPr="002A4ECD">
        <w:rPr>
          <w:rFonts w:ascii="Arial" w:eastAsia="Times New Roman" w:hAnsi="Arial" w:cs="Arial"/>
          <w:strike/>
          <w:snapToGrid w:val="0"/>
          <w:color w:val="FF0000"/>
          <w:sz w:val="20"/>
          <w:szCs w:val="20"/>
        </w:rPr>
        <w:t>4</w:t>
      </w:r>
      <w:r w:rsidR="008B74DA" w:rsidRPr="002A4ECD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5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ab/>
      </w:r>
      <w:r w:rsidR="002C6442" w:rsidRPr="002C6442">
        <w:rPr>
          <w:rFonts w:ascii="Arial" w:hAnsi="Arial" w:cs="Arial"/>
          <w:sz w:val="20"/>
          <w:szCs w:val="20"/>
        </w:rPr>
        <w:t xml:space="preserve">In the event that agreement cannot be reached within 10 days of notification of the failure by </w:t>
      </w:r>
      <w:r w:rsidR="002C6442" w:rsidRPr="002C6442">
        <w:rPr>
          <w:rFonts w:ascii="Arial" w:hAnsi="Arial" w:cs="Arial"/>
          <w:b/>
          <w:sz w:val="20"/>
          <w:szCs w:val="20"/>
        </w:rPr>
        <w:t>The Company</w:t>
      </w:r>
      <w:r w:rsidR="002C6442" w:rsidRPr="002C6442">
        <w:rPr>
          <w:rFonts w:ascii="Arial" w:hAnsi="Arial" w:cs="Arial"/>
          <w:sz w:val="20"/>
          <w:szCs w:val="20"/>
        </w:rPr>
        <w:t xml:space="preserve"> to the</w:t>
      </w:r>
      <w:r w:rsidR="002C6442" w:rsidRPr="002C6442">
        <w:rPr>
          <w:rFonts w:ascii="Arial" w:hAnsi="Arial" w:cs="Arial"/>
          <w:b/>
          <w:sz w:val="20"/>
          <w:szCs w:val="20"/>
        </w:rPr>
        <w:t xml:space="preserve"> User</w:t>
      </w:r>
      <w:r w:rsidR="002C6442" w:rsidRPr="002C6442">
        <w:rPr>
          <w:rFonts w:ascii="Arial" w:hAnsi="Arial" w:cs="Arial"/>
          <w:sz w:val="20"/>
          <w:szCs w:val="20"/>
        </w:rPr>
        <w:t xml:space="preserve">, </w:t>
      </w:r>
      <w:r w:rsidR="002C6442" w:rsidRPr="002C6442">
        <w:rPr>
          <w:rFonts w:ascii="Arial" w:hAnsi="Arial" w:cs="Arial"/>
          <w:b/>
          <w:sz w:val="20"/>
          <w:szCs w:val="20"/>
        </w:rPr>
        <w:t>The Company</w:t>
      </w:r>
      <w:r w:rsidR="002C6442" w:rsidRPr="002C6442">
        <w:rPr>
          <w:rFonts w:ascii="Arial" w:hAnsi="Arial" w:cs="Arial"/>
          <w:sz w:val="20"/>
          <w:szCs w:val="20"/>
        </w:rPr>
        <w:t xml:space="preserve"> or the</w:t>
      </w:r>
      <w:r w:rsidR="002C6442" w:rsidRPr="002C6442">
        <w:rPr>
          <w:rFonts w:ascii="Arial" w:hAnsi="Arial" w:cs="Arial"/>
          <w:b/>
          <w:sz w:val="20"/>
          <w:szCs w:val="20"/>
        </w:rPr>
        <w:t xml:space="preserve"> User</w:t>
      </w:r>
      <w:r w:rsidR="002C6442" w:rsidRPr="002C6442">
        <w:rPr>
          <w:rFonts w:ascii="Arial" w:hAnsi="Arial" w:cs="Arial"/>
          <w:sz w:val="20"/>
          <w:szCs w:val="20"/>
        </w:rPr>
        <w:t xml:space="preserve"> shall be entitled to require a test, as set out in OC5.5 and OC5.6, to be carried out</w:t>
      </w:r>
      <w:r w:rsidR="002C6442" w:rsidRPr="002C6442">
        <w:rPr>
          <w:rFonts w:ascii="Arial" w:hAnsi="Arial" w:cs="Arial"/>
          <w:snapToGrid w:val="0"/>
          <w:sz w:val="20"/>
          <w:szCs w:val="20"/>
        </w:rPr>
        <w:t xml:space="preserve">, except in </w:t>
      </w:r>
      <w:r w:rsidR="002C6442" w:rsidRPr="002A4ECD">
        <w:rPr>
          <w:rFonts w:ascii="Arial" w:hAnsi="Arial" w:cs="Arial"/>
          <w:snapToGrid w:val="0"/>
          <w:color w:val="FF0000"/>
          <w:sz w:val="20"/>
          <w:szCs w:val="20"/>
        </w:rPr>
        <w:t>respect of CC.6.3.15 or ECC.6.3.15, as applicable, where testing is impractical and OC.5.4.2.6 shall apply instead</w:t>
      </w:r>
      <w:r w:rsidR="002C6442" w:rsidRPr="002A4ECD">
        <w:rPr>
          <w:rFonts w:ascii="Arial" w:hAnsi="Arial" w:cs="Arial"/>
          <w:snapToGrid w:val="0"/>
          <w:sz w:val="20"/>
          <w:szCs w:val="20"/>
        </w:rPr>
        <w:t>.</w:t>
      </w:r>
    </w:p>
    <w:p w14:paraId="2BF4C093" w14:textId="0B804B03" w:rsidR="00BC5C8B" w:rsidRPr="002A4ECD" w:rsidRDefault="000D562C" w:rsidP="00BC5C8B">
      <w:pPr>
        <w:keepLines/>
        <w:widowControl w:val="0"/>
        <w:tabs>
          <w:tab w:val="left" w:pos="1843"/>
        </w:tabs>
        <w:spacing w:after="120" w:line="264" w:lineRule="auto"/>
        <w:ind w:left="1418" w:hanging="1418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</w:rPr>
      </w:pP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lastRenderedPageBreak/>
        <w:t>OC5.4.2.6</w:t>
      </w:r>
      <w:r w:rsidR="00063437" w:rsidRPr="002A4ECD">
        <w:rPr>
          <w:rFonts w:ascii="Arial" w:eastAsia="Times New Roman" w:hAnsi="Arial" w:cs="Arial"/>
          <w:snapToGrid w:val="0"/>
          <w:sz w:val="20"/>
          <w:szCs w:val="20"/>
        </w:rPr>
        <w:tab/>
      </w:r>
      <w:r w:rsidR="00BC5C8B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Where an investigation </w:t>
      </w:r>
      <w:r w:rsidR="00903FF7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into compliance with CC6.3.15 or ECC6.3.15 as applicable </w:t>
      </w:r>
      <w:r w:rsidR="00AE6A0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which </w:t>
      </w:r>
      <w:r w:rsidR="00727D34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required </w:t>
      </w:r>
      <w:r w:rsidR="00AE6A0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the </w:t>
      </w:r>
      <w:r w:rsidR="00AE6A0D" w:rsidRPr="00DD2C36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User</w:t>
      </w:r>
      <w:r w:rsidR="00AE6A0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to </w:t>
      </w:r>
      <w:r w:rsidR="000D33C7">
        <w:rPr>
          <w:rFonts w:ascii="Arial" w:eastAsia="Times New Roman" w:hAnsi="Arial" w:cs="Arial"/>
          <w:snapToGrid w:val="0"/>
          <w:color w:val="FF0000"/>
          <w:sz w:val="20"/>
          <w:szCs w:val="20"/>
        </w:rPr>
        <w:t>provide</w:t>
      </w:r>
      <w:r w:rsidR="00AE6A0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an explanation </w:t>
      </w:r>
      <w:r w:rsidR="00AE6A0D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as described in OC5.4.2.2(c</w:t>
      </w:r>
      <w:r w:rsidR="00382C6C">
        <w:rPr>
          <w:rFonts w:ascii="Arial" w:eastAsia="Times New Roman" w:hAnsi="Arial" w:cs="Arial"/>
          <w:snapToGrid w:val="0"/>
          <w:color w:val="FF0000"/>
          <w:sz w:val="20"/>
          <w:szCs w:val="20"/>
        </w:rPr>
        <w:t>)</w:t>
      </w:r>
      <w:r w:rsidR="00AE6A0D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  <w:r w:rsidR="00BC5C8B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and any necessary actions to resolve this are not agreed </w:t>
      </w:r>
      <w:r w:rsidR="00903FF7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between the </w:t>
      </w:r>
      <w:r w:rsidR="00903FF7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User</w:t>
      </w:r>
      <w:r w:rsidR="00903FF7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and </w:t>
      </w:r>
      <w:r w:rsidR="00903FF7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The Company</w:t>
      </w:r>
      <w:r w:rsidR="00903FF7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  <w:r w:rsidR="00BC5C8B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within </w:t>
      </w:r>
      <w:r w:rsidR="00FC0B54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three</w:t>
      </w:r>
      <w:r w:rsidR="00BC5C8B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months, then an export limitation of 50% of the export capability of the </w:t>
      </w:r>
      <w:r w:rsidR="00BC5C8B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User</w:t>
      </w:r>
      <w:r w:rsidR="00BC5C8B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’s (which for the avoidance of doubt includes Network Operators) site or asset (as applicable) or the </w:t>
      </w:r>
      <w:r w:rsidR="00BC5C8B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Transmission Entry Capacity</w:t>
      </w:r>
      <w:r w:rsidR="00BC5C8B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of their </w:t>
      </w:r>
      <w:r w:rsidR="00BC5C8B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Power Generating Module, Generating Unit</w:t>
      </w:r>
      <w:r w:rsidR="00BC5C8B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(excluding a </w:t>
      </w:r>
      <w:r w:rsidR="00BC5C8B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Power Park Unit</w:t>
      </w:r>
      <w:r w:rsidR="00BC5C8B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), </w:t>
      </w:r>
      <w:r w:rsidR="00BC5C8B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CCGT Module, Power Park Module, OTSUA </w:t>
      </w:r>
      <w:r w:rsidR="00BC5C8B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(prior to the</w:t>
      </w:r>
      <w:r w:rsidR="00BC5C8B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 OTSUA Transfer Time</w:t>
      </w:r>
      <w:r w:rsidR="00BC5C8B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)</w:t>
      </w:r>
      <w:r w:rsidR="009157FB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,</w:t>
      </w:r>
      <w:r w:rsidR="009157FB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 HVDC Equipment </w:t>
      </w:r>
      <w:r w:rsidR="009157FB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or</w:t>
      </w:r>
      <w:r w:rsidR="009157FB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 DC Converter</w:t>
      </w:r>
      <w:r w:rsidR="00BC5C8B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, as applicable, will be applied until the investigation and any resulting actions are </w:t>
      </w:r>
      <w:r w:rsidR="00A26DE1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agreed </w:t>
      </w:r>
      <w:r w:rsidR="00BC5C8B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between the </w:t>
      </w:r>
      <w:r w:rsidR="00BC5C8B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User</w:t>
      </w:r>
      <w:r w:rsidR="00BC5C8B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and </w:t>
      </w:r>
      <w:r w:rsidR="00BC5C8B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The Company</w:t>
      </w:r>
      <w:r w:rsidR="00A26DE1" w:rsidRPr="002A4EC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 </w:t>
      </w:r>
      <w:r w:rsidR="00A26DE1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to have been completed</w:t>
      </w:r>
      <w:r w:rsidR="00BC5C8B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.</w:t>
      </w:r>
    </w:p>
    <w:p w14:paraId="4818637B" w14:textId="19E9C0F5" w:rsidR="00063437" w:rsidRPr="002A4ECD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1418" w:hanging="1418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</w:rPr>
      </w:pP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OC5.4.2.</w:t>
      </w:r>
      <w:r w:rsidR="000D562C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7</w:t>
      </w:r>
      <w:r w:rsidRPr="002A4ECD">
        <w:rPr>
          <w:rFonts w:ascii="Arial" w:eastAsia="Times New Roman" w:hAnsi="Arial" w:cs="Arial"/>
          <w:snapToGrid w:val="0"/>
          <w:sz w:val="20"/>
          <w:szCs w:val="20"/>
        </w:rPr>
        <w:tab/>
      </w:r>
      <w:r w:rsidR="00F90821" w:rsidRPr="002A4ECD">
        <w:rPr>
          <w:rFonts w:ascii="Arial" w:hAnsi="Arial" w:cs="Arial"/>
          <w:color w:val="FF0000"/>
          <w:sz w:val="20"/>
          <w:szCs w:val="20"/>
        </w:rPr>
        <w:t xml:space="preserve">In the case of a </w:t>
      </w:r>
      <w:r w:rsidR="00F90821" w:rsidRPr="002A4ECD">
        <w:rPr>
          <w:rFonts w:ascii="Arial" w:hAnsi="Arial" w:cs="Arial"/>
          <w:b/>
          <w:bCs/>
          <w:color w:val="FF0000"/>
          <w:sz w:val="20"/>
          <w:szCs w:val="20"/>
        </w:rPr>
        <w:t>Power Generating Module</w:t>
      </w:r>
      <w:r w:rsidR="00F90821" w:rsidRPr="002A4ECD">
        <w:rPr>
          <w:rFonts w:ascii="Arial" w:hAnsi="Arial" w:cs="Arial"/>
          <w:color w:val="FF0000"/>
          <w:sz w:val="20"/>
          <w:szCs w:val="20"/>
        </w:rPr>
        <w:t xml:space="preserve">, </w:t>
      </w:r>
      <w:r w:rsidR="00F90821" w:rsidRPr="002A4ECD">
        <w:rPr>
          <w:rFonts w:ascii="Arial" w:hAnsi="Arial" w:cs="Arial"/>
          <w:b/>
          <w:bCs/>
          <w:color w:val="FF0000"/>
          <w:sz w:val="20"/>
          <w:szCs w:val="20"/>
        </w:rPr>
        <w:t>Generating Unit</w:t>
      </w:r>
      <w:r w:rsidR="00F90821" w:rsidRPr="002A4ECD">
        <w:rPr>
          <w:rFonts w:ascii="Arial" w:hAnsi="Arial" w:cs="Arial"/>
          <w:color w:val="FF0000"/>
          <w:sz w:val="20"/>
          <w:szCs w:val="20"/>
        </w:rPr>
        <w:t xml:space="preserve"> (excluding a </w:t>
      </w:r>
      <w:r w:rsidR="00F90821" w:rsidRPr="002A4ECD">
        <w:rPr>
          <w:rFonts w:ascii="Arial" w:hAnsi="Arial" w:cs="Arial"/>
          <w:b/>
          <w:bCs/>
          <w:color w:val="FF0000"/>
          <w:sz w:val="20"/>
          <w:szCs w:val="20"/>
        </w:rPr>
        <w:t>Power Park Unit</w:t>
      </w:r>
      <w:r w:rsidR="00F90821" w:rsidRPr="002A4ECD">
        <w:rPr>
          <w:rFonts w:ascii="Arial" w:hAnsi="Arial" w:cs="Arial"/>
          <w:color w:val="FF0000"/>
          <w:sz w:val="20"/>
          <w:szCs w:val="20"/>
        </w:rPr>
        <w:t xml:space="preserve">), </w:t>
      </w:r>
      <w:r w:rsidR="00F90821" w:rsidRPr="002A4ECD">
        <w:rPr>
          <w:rFonts w:ascii="Arial" w:hAnsi="Arial" w:cs="Arial"/>
          <w:b/>
          <w:bCs/>
          <w:color w:val="FF0000"/>
          <w:sz w:val="20"/>
          <w:szCs w:val="20"/>
        </w:rPr>
        <w:t>CCGT Module</w:t>
      </w:r>
      <w:r w:rsidR="00F90821" w:rsidRPr="002A4ECD">
        <w:rPr>
          <w:rFonts w:ascii="Arial" w:hAnsi="Arial" w:cs="Arial"/>
          <w:color w:val="FF0000"/>
          <w:sz w:val="20"/>
          <w:szCs w:val="20"/>
        </w:rPr>
        <w:t>,</w:t>
      </w:r>
      <w:r w:rsidR="00F90821" w:rsidRPr="002A4ECD">
        <w:rPr>
          <w:rFonts w:ascii="Arial" w:hAnsi="Arial" w:cs="Arial"/>
          <w:b/>
          <w:bCs/>
          <w:color w:val="FF0000"/>
          <w:sz w:val="20"/>
          <w:szCs w:val="20"/>
        </w:rPr>
        <w:t xml:space="preserve"> Power Park Module</w:t>
      </w:r>
      <w:r w:rsidR="00F90821" w:rsidRPr="002A4ECD">
        <w:rPr>
          <w:rFonts w:ascii="Arial" w:hAnsi="Arial" w:cs="Arial"/>
          <w:color w:val="FF0000"/>
          <w:sz w:val="20"/>
          <w:szCs w:val="20"/>
        </w:rPr>
        <w:t>,</w:t>
      </w:r>
      <w:r w:rsidR="00F90821" w:rsidRPr="002A4ECD">
        <w:rPr>
          <w:rFonts w:ascii="Arial" w:hAnsi="Arial" w:cs="Arial"/>
          <w:b/>
          <w:bCs/>
          <w:color w:val="FF0000"/>
          <w:sz w:val="20"/>
          <w:szCs w:val="20"/>
        </w:rPr>
        <w:t xml:space="preserve"> OTSUA </w:t>
      </w:r>
      <w:r w:rsidR="00F90821" w:rsidRPr="002A4ECD">
        <w:rPr>
          <w:rFonts w:ascii="Arial" w:hAnsi="Arial" w:cs="Arial"/>
          <w:color w:val="FF0000"/>
          <w:sz w:val="20"/>
          <w:szCs w:val="20"/>
        </w:rPr>
        <w:t>(prior to the</w:t>
      </w:r>
      <w:r w:rsidR="00F90821" w:rsidRPr="002A4ECD">
        <w:rPr>
          <w:rFonts w:ascii="Arial" w:hAnsi="Arial" w:cs="Arial"/>
          <w:b/>
          <w:bCs/>
          <w:color w:val="FF0000"/>
          <w:sz w:val="20"/>
          <w:szCs w:val="20"/>
        </w:rPr>
        <w:t xml:space="preserve"> OTSUA Transfer Time</w:t>
      </w:r>
      <w:r w:rsidR="00F90821" w:rsidRPr="002A4ECD">
        <w:rPr>
          <w:rFonts w:ascii="Arial" w:hAnsi="Arial" w:cs="Arial"/>
          <w:color w:val="FF0000"/>
          <w:sz w:val="20"/>
          <w:szCs w:val="20"/>
        </w:rPr>
        <w:t xml:space="preserve">), </w:t>
      </w:r>
      <w:r w:rsidR="00F90821" w:rsidRPr="002A4ECD">
        <w:rPr>
          <w:rFonts w:ascii="Arial" w:hAnsi="Arial" w:cs="Arial"/>
          <w:b/>
          <w:bCs/>
          <w:color w:val="FF0000"/>
          <w:sz w:val="20"/>
          <w:szCs w:val="20"/>
        </w:rPr>
        <w:t>HVDC Equipment</w:t>
      </w:r>
      <w:r w:rsidR="00F90821" w:rsidRPr="002A4ECD">
        <w:rPr>
          <w:rFonts w:ascii="Arial" w:hAnsi="Arial" w:cs="Arial"/>
          <w:color w:val="FF0000"/>
          <w:sz w:val="20"/>
          <w:szCs w:val="20"/>
        </w:rPr>
        <w:t xml:space="preserve"> or</w:t>
      </w:r>
      <w:r w:rsidR="00F90821" w:rsidRPr="002A4ECD">
        <w:rPr>
          <w:rFonts w:ascii="Arial" w:hAnsi="Arial" w:cs="Arial"/>
          <w:b/>
          <w:bCs/>
          <w:color w:val="FF0000"/>
          <w:sz w:val="20"/>
          <w:szCs w:val="20"/>
        </w:rPr>
        <w:t xml:space="preserve"> DC Converter </w:t>
      </w:r>
      <w:bookmarkStart w:id="4" w:name="_Hlk80970559"/>
      <w:r w:rsidR="0047662F" w:rsidRPr="002A4ECD">
        <w:rPr>
          <w:rFonts w:ascii="Arial" w:hAnsi="Arial" w:cs="Arial"/>
          <w:bCs/>
          <w:color w:val="FF0000"/>
          <w:sz w:val="20"/>
          <w:szCs w:val="20"/>
        </w:rPr>
        <w:t xml:space="preserve">identifying their </w:t>
      </w:r>
      <w:r w:rsidR="002B4BAF" w:rsidRPr="002A4ECD">
        <w:rPr>
          <w:rFonts w:ascii="Arial" w:hAnsi="Arial" w:cs="Arial"/>
          <w:bCs/>
          <w:color w:val="FF0000"/>
          <w:sz w:val="20"/>
          <w:szCs w:val="20"/>
        </w:rPr>
        <w:t xml:space="preserve">non-compliance </w:t>
      </w:r>
      <w:r w:rsidR="002B4BAF" w:rsidRPr="002A4ECD">
        <w:rPr>
          <w:rFonts w:ascii="Arial" w:hAnsi="Arial" w:cs="Arial"/>
          <w:color w:val="FF0000"/>
          <w:sz w:val="20"/>
          <w:szCs w:val="20"/>
        </w:rPr>
        <w:t xml:space="preserve">with </w:t>
      </w:r>
      <w:r w:rsidR="002B4BAF" w:rsidRPr="002A4ECD">
        <w:rPr>
          <w:rFonts w:ascii="Arial" w:hAnsi="Arial" w:cs="Arial"/>
          <w:bCs/>
          <w:color w:val="FF0000"/>
          <w:sz w:val="20"/>
          <w:szCs w:val="20"/>
        </w:rPr>
        <w:t>CC.6.3.15</w:t>
      </w:r>
      <w:r w:rsidR="002B4BAF" w:rsidRPr="002A4ECD">
        <w:rPr>
          <w:rFonts w:ascii="Arial" w:hAnsi="Arial" w:cs="Arial"/>
          <w:color w:val="FF0000"/>
          <w:sz w:val="20"/>
          <w:szCs w:val="20"/>
        </w:rPr>
        <w:t xml:space="preserve"> or </w:t>
      </w:r>
      <w:r w:rsidR="002B4BAF" w:rsidRPr="002A4ECD">
        <w:rPr>
          <w:rFonts w:ascii="Arial" w:hAnsi="Arial" w:cs="Arial"/>
          <w:bCs/>
          <w:color w:val="FF0000"/>
          <w:sz w:val="20"/>
          <w:szCs w:val="20"/>
        </w:rPr>
        <w:t xml:space="preserve">ECC.6.3.15 </w:t>
      </w:r>
      <w:r w:rsidR="002B4BAF" w:rsidRPr="002A4ECD">
        <w:rPr>
          <w:rFonts w:ascii="Arial" w:hAnsi="Arial" w:cs="Arial"/>
          <w:color w:val="FF0000"/>
          <w:sz w:val="20"/>
          <w:szCs w:val="20"/>
        </w:rPr>
        <w:t xml:space="preserve">as applicable </w:t>
      </w:r>
      <w:r w:rsidR="002B4BAF" w:rsidRPr="002A4ECD">
        <w:rPr>
          <w:rFonts w:ascii="Arial" w:hAnsi="Arial" w:cs="Arial"/>
          <w:bCs/>
          <w:color w:val="FF0000"/>
          <w:sz w:val="20"/>
          <w:szCs w:val="20"/>
        </w:rPr>
        <w:t>by completion of the</w:t>
      </w:r>
      <w:r w:rsidR="00A26DE1" w:rsidRPr="002A4ECD">
        <w:rPr>
          <w:rFonts w:ascii="Arial" w:hAnsi="Arial" w:cs="Arial"/>
          <w:bCs/>
          <w:color w:val="FF0000"/>
          <w:sz w:val="20"/>
          <w:szCs w:val="20"/>
        </w:rPr>
        <w:t>ir report into this</w:t>
      </w:r>
      <w:r w:rsidR="002B4BAF" w:rsidRPr="002A4ECD">
        <w:rPr>
          <w:rFonts w:ascii="Arial" w:hAnsi="Arial" w:cs="Arial"/>
          <w:bCs/>
          <w:color w:val="FF0000"/>
          <w:sz w:val="20"/>
          <w:szCs w:val="20"/>
        </w:rPr>
        <w:t xml:space="preserve"> as set out in </w:t>
      </w:r>
      <w:r w:rsidR="002B4BAF" w:rsidRPr="002A4ECD">
        <w:rPr>
          <w:rFonts w:ascii="Arial" w:hAnsi="Arial" w:cs="Arial"/>
          <w:b/>
          <w:bCs/>
          <w:color w:val="FF0000"/>
          <w:sz w:val="20"/>
          <w:szCs w:val="20"/>
        </w:rPr>
        <w:t xml:space="preserve">OC10, </w:t>
      </w:r>
      <w:bookmarkEnd w:id="4"/>
      <w:r w:rsidR="00F90821" w:rsidRPr="002A4ECD">
        <w:rPr>
          <w:rFonts w:ascii="Arial" w:hAnsi="Arial" w:cs="Arial"/>
          <w:b/>
          <w:bCs/>
          <w:color w:val="FF0000"/>
          <w:sz w:val="20"/>
          <w:szCs w:val="20"/>
        </w:rPr>
        <w:t>The Company</w:t>
      </w:r>
      <w:r w:rsidR="00F90821" w:rsidRPr="002A4ECD">
        <w:rPr>
          <w:rFonts w:ascii="Arial" w:hAnsi="Arial" w:cs="Arial"/>
          <w:color w:val="FF0000"/>
          <w:sz w:val="20"/>
          <w:szCs w:val="20"/>
        </w:rPr>
        <w:t xml:space="preserve"> will as soon as reasonably practicable, issue a </w:t>
      </w:r>
      <w:r w:rsidR="00F90821" w:rsidRPr="002A4ECD">
        <w:rPr>
          <w:rFonts w:ascii="Arial" w:hAnsi="Arial" w:cs="Arial"/>
          <w:b/>
          <w:bCs/>
          <w:color w:val="FF0000"/>
          <w:sz w:val="20"/>
          <w:szCs w:val="20"/>
        </w:rPr>
        <w:t>Limited Operational Notification</w:t>
      </w:r>
      <w:r w:rsidR="00F90821" w:rsidRPr="002A4ECD">
        <w:rPr>
          <w:rFonts w:ascii="Arial" w:hAnsi="Arial" w:cs="Arial"/>
          <w:color w:val="FF0000"/>
          <w:sz w:val="20"/>
          <w:szCs w:val="20"/>
        </w:rPr>
        <w:t xml:space="preserve"> or amend any </w:t>
      </w:r>
      <w:r w:rsidR="00F90821" w:rsidRPr="002A4ECD">
        <w:rPr>
          <w:rFonts w:ascii="Arial" w:hAnsi="Arial" w:cs="Arial"/>
          <w:b/>
          <w:bCs/>
          <w:color w:val="FF0000"/>
          <w:sz w:val="20"/>
          <w:szCs w:val="20"/>
        </w:rPr>
        <w:t>Interim Operational Notification</w:t>
      </w:r>
      <w:r w:rsidR="00F90821" w:rsidRPr="002A4ECD">
        <w:rPr>
          <w:rFonts w:ascii="Arial" w:hAnsi="Arial" w:cs="Arial"/>
          <w:color w:val="FF0000"/>
          <w:sz w:val="20"/>
          <w:szCs w:val="20"/>
        </w:rPr>
        <w:t xml:space="preserve">. </w:t>
      </w:r>
      <w:r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</w:p>
    <w:p w14:paraId="4E31D1B9" w14:textId="77777777" w:rsidR="00BE3110" w:rsidRPr="008D6E11" w:rsidRDefault="00BE3110" w:rsidP="006D5E2D">
      <w:pPr>
        <w:keepLines/>
        <w:widowControl w:val="0"/>
        <w:tabs>
          <w:tab w:val="left" w:pos="1418"/>
        </w:tabs>
        <w:spacing w:after="0" w:line="264" w:lineRule="auto"/>
        <w:ind w:left="1418" w:hanging="1418"/>
        <w:jc w:val="both"/>
        <w:rPr>
          <w:rFonts w:ascii="Arial" w:hAnsi="Arial" w:cs="Arial"/>
          <w:snapToGrid w:val="0"/>
          <w:color w:val="FF0000"/>
          <w:sz w:val="20"/>
          <w:szCs w:val="20"/>
          <w:u w:val="single"/>
        </w:rPr>
      </w:pPr>
    </w:p>
    <w:p w14:paraId="3749E18F" w14:textId="77777777" w:rsidR="0030522A" w:rsidRPr="008D6E11" w:rsidRDefault="0030522A" w:rsidP="0030522A">
      <w:pPr>
        <w:pStyle w:val="Level2Text"/>
        <w:ind w:left="720" w:hanging="720"/>
        <w:rPr>
          <w:rFonts w:cs="Arial"/>
          <w:b/>
          <w:u w:val="single"/>
        </w:rPr>
      </w:pPr>
      <w:r w:rsidRPr="008D6E11">
        <w:rPr>
          <w:rFonts w:cs="Arial"/>
          <w:b/>
          <w:u w:val="single"/>
        </w:rPr>
        <w:t>Amendments to OC3</w:t>
      </w:r>
    </w:p>
    <w:p w14:paraId="285F0DDB" w14:textId="1290E302" w:rsidR="0030522A" w:rsidRPr="008D6E11" w:rsidRDefault="0030522A" w:rsidP="0030522A">
      <w:pPr>
        <w:keepLines/>
        <w:widowControl w:val="0"/>
        <w:tabs>
          <w:tab w:val="left" w:pos="1418"/>
        </w:tabs>
        <w:spacing w:line="264" w:lineRule="auto"/>
        <w:ind w:left="1418" w:hanging="1418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>OC3.4</w:t>
      </w:r>
      <w:r w:rsidRPr="008D6E11">
        <w:rPr>
          <w:rFonts w:ascii="Arial" w:hAnsi="Arial" w:cs="Arial"/>
          <w:snapToGrid w:val="0"/>
          <w:sz w:val="20"/>
          <w:szCs w:val="20"/>
        </w:rPr>
        <w:tab/>
      </w:r>
      <w:r w:rsidRPr="008D6E11">
        <w:rPr>
          <w:rFonts w:ascii="Arial" w:hAnsi="Arial" w:cs="Arial"/>
          <w:snapToGrid w:val="0"/>
          <w:sz w:val="20"/>
          <w:szCs w:val="20"/>
          <w:u w:val="single"/>
        </w:rPr>
        <w:t>SYSTEM INCIDENTS REPORT</w:t>
      </w:r>
    </w:p>
    <w:p w14:paraId="61A35B68" w14:textId="77777777" w:rsidR="0030522A" w:rsidRPr="008D6E11" w:rsidRDefault="0030522A" w:rsidP="0030522A">
      <w:pPr>
        <w:keepLines/>
        <w:widowControl w:val="0"/>
        <w:tabs>
          <w:tab w:val="left" w:pos="1418"/>
        </w:tabs>
        <w:spacing w:line="264" w:lineRule="auto"/>
        <w:ind w:left="1418" w:hanging="1418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>OC3.4.1</w:t>
      </w:r>
      <w:r w:rsidRPr="008D6E11">
        <w:rPr>
          <w:rFonts w:ascii="Arial" w:hAnsi="Arial" w:cs="Arial"/>
          <w:snapToGrid w:val="0"/>
          <w:sz w:val="20"/>
          <w:szCs w:val="20"/>
        </w:rPr>
        <w:tab/>
        <w:t xml:space="preserve">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Company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shall prepare and submit to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Grid Code Review Panel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monthly a report titled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System Incidents Report</w:t>
      </w:r>
      <w:r w:rsidRPr="008D6E11">
        <w:rPr>
          <w:rFonts w:ascii="Arial" w:hAnsi="Arial" w:cs="Arial"/>
          <w:snapToGrid w:val="0"/>
          <w:sz w:val="20"/>
          <w:szCs w:val="20"/>
        </w:rPr>
        <w:t>, which shall contain:</w:t>
      </w:r>
    </w:p>
    <w:p w14:paraId="52F67E3F" w14:textId="77777777" w:rsidR="0030522A" w:rsidRPr="008D6E11" w:rsidRDefault="0030522A" w:rsidP="0030522A">
      <w:pPr>
        <w:keepLines/>
        <w:widowControl w:val="0"/>
        <w:numPr>
          <w:ilvl w:val="0"/>
          <w:numId w:val="3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a record of each and all of any of the following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Events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, defined as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Significant Events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, on </w:t>
      </w:r>
    </w:p>
    <w:p w14:paraId="55560C14" w14:textId="77777777" w:rsidR="0030522A" w:rsidRPr="008D6E11" w:rsidRDefault="0030522A" w:rsidP="0030522A">
      <w:pPr>
        <w:keepLines/>
        <w:widowControl w:val="0"/>
        <w:tabs>
          <w:tab w:val="left" w:pos="1418"/>
        </w:tabs>
        <w:spacing w:line="264" w:lineRule="auto"/>
        <w:ind w:left="1778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National Electricity Transmission System</w:t>
      </w:r>
      <w:r w:rsidRPr="008D6E11">
        <w:rPr>
          <w:rFonts w:ascii="Arial" w:hAnsi="Arial" w:cs="Arial"/>
          <w:snapToGrid w:val="0"/>
          <w:sz w:val="20"/>
          <w:szCs w:val="20"/>
        </w:rPr>
        <w:t>:</w:t>
      </w:r>
    </w:p>
    <w:p w14:paraId="611A4942" w14:textId="77777777" w:rsidR="0030522A" w:rsidRPr="008D6E11" w:rsidRDefault="0030522A" w:rsidP="0030522A">
      <w:pPr>
        <w:keepLines/>
        <w:widowControl w:val="0"/>
        <w:numPr>
          <w:ilvl w:val="0"/>
          <w:numId w:val="4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a loss of infeed or </w:t>
      </w:r>
      <w:proofErr w:type="spellStart"/>
      <w:r w:rsidRPr="008D6E11">
        <w:rPr>
          <w:rFonts w:ascii="Arial" w:hAnsi="Arial" w:cs="Arial"/>
          <w:snapToGrid w:val="0"/>
          <w:sz w:val="20"/>
          <w:szCs w:val="20"/>
        </w:rPr>
        <w:t>exfeed</w:t>
      </w:r>
      <w:proofErr w:type="spellEnd"/>
      <w:r w:rsidRPr="008D6E11">
        <w:rPr>
          <w:rFonts w:ascii="Arial" w:hAnsi="Arial" w:cs="Arial"/>
          <w:snapToGrid w:val="0"/>
          <w:sz w:val="20"/>
          <w:szCs w:val="20"/>
        </w:rPr>
        <w:t xml:space="preserve"> (import or export including generation,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Demand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and interconnection) of =&gt;</w:t>
      </w:r>
      <w:proofErr w:type="gramStart"/>
      <w:r w:rsidRPr="008D6E11">
        <w:rPr>
          <w:rFonts w:ascii="Arial" w:hAnsi="Arial" w:cs="Arial"/>
          <w:snapToGrid w:val="0"/>
          <w:sz w:val="20"/>
          <w:szCs w:val="20"/>
        </w:rPr>
        <w:t>250MW;</w:t>
      </w:r>
      <w:proofErr w:type="gramEnd"/>
    </w:p>
    <w:p w14:paraId="48795BB1" w14:textId="77777777" w:rsidR="0030522A" w:rsidRPr="008D6E11" w:rsidRDefault="0030522A" w:rsidP="0030522A">
      <w:pPr>
        <w:keepLines/>
        <w:widowControl w:val="0"/>
        <w:numPr>
          <w:ilvl w:val="0"/>
          <w:numId w:val="4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a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Frequency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excursion outside the limits 49.7-50.</w:t>
      </w:r>
      <w:proofErr w:type="gramStart"/>
      <w:r w:rsidRPr="008D6E11">
        <w:rPr>
          <w:rFonts w:ascii="Arial" w:hAnsi="Arial" w:cs="Arial"/>
          <w:snapToGrid w:val="0"/>
          <w:sz w:val="20"/>
          <w:szCs w:val="20"/>
        </w:rPr>
        <w:t>3Hz;</w:t>
      </w:r>
      <w:proofErr w:type="gramEnd"/>
      <w:r w:rsidRPr="008D6E11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72BF72A9" w14:textId="77777777" w:rsidR="0030522A" w:rsidRPr="008D6E11" w:rsidRDefault="0030522A" w:rsidP="0030522A">
      <w:pPr>
        <w:keepLines/>
        <w:widowControl w:val="0"/>
        <w:numPr>
          <w:ilvl w:val="0"/>
          <w:numId w:val="4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a fault on the National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Electricity Transmission System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which: </w:t>
      </w:r>
    </w:p>
    <w:p w14:paraId="359EA3AC" w14:textId="77777777" w:rsidR="0030522A" w:rsidRPr="008D6E11" w:rsidRDefault="0030522A" w:rsidP="0030522A">
      <w:pPr>
        <w:keepLines/>
        <w:widowControl w:val="0"/>
        <w:tabs>
          <w:tab w:val="left" w:pos="1418"/>
        </w:tabs>
        <w:spacing w:line="264" w:lineRule="auto"/>
        <w:ind w:left="2498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>A.    could be linked to the known or reported tripping of 250MW or more as reported in (</w:t>
      </w:r>
      <w:proofErr w:type="spellStart"/>
      <w:r w:rsidRPr="008D6E11">
        <w:rPr>
          <w:rFonts w:ascii="Arial" w:hAnsi="Arial" w:cs="Arial"/>
          <w:snapToGrid w:val="0"/>
          <w:sz w:val="20"/>
          <w:szCs w:val="20"/>
        </w:rPr>
        <w:t>i</w:t>
      </w:r>
      <w:proofErr w:type="spellEnd"/>
      <w:r w:rsidRPr="008D6E11">
        <w:rPr>
          <w:rFonts w:ascii="Arial" w:hAnsi="Arial" w:cs="Arial"/>
          <w:snapToGrid w:val="0"/>
          <w:sz w:val="20"/>
          <w:szCs w:val="20"/>
        </w:rPr>
        <w:t xml:space="preserve">) above; and/or </w:t>
      </w:r>
    </w:p>
    <w:p w14:paraId="21F9D514" w14:textId="77777777" w:rsidR="0030522A" w:rsidRPr="008D6E11" w:rsidRDefault="0030522A" w:rsidP="0030522A">
      <w:pPr>
        <w:keepLines/>
        <w:widowControl w:val="0"/>
        <w:tabs>
          <w:tab w:val="left" w:pos="1418"/>
        </w:tabs>
        <w:spacing w:line="264" w:lineRule="auto"/>
        <w:ind w:left="2498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B. (as detailed in section CC6.1.4) is linked to a change in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 xml:space="preserve">Transmission System 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voltage of </w:t>
      </w:r>
    </w:p>
    <w:p w14:paraId="087020B5" w14:textId="77777777" w:rsidR="0030522A" w:rsidRPr="008D6E11" w:rsidRDefault="0030522A" w:rsidP="0030522A">
      <w:pPr>
        <w:keepLines/>
        <w:widowControl w:val="0"/>
        <w:tabs>
          <w:tab w:val="left" w:pos="1418"/>
        </w:tabs>
        <w:spacing w:line="264" w:lineRule="auto"/>
        <w:ind w:left="2498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I. 300kV or greater: &gt; +/-5% for &gt;15min; or </w:t>
      </w:r>
    </w:p>
    <w:p w14:paraId="50A37B52" w14:textId="77777777" w:rsidR="0030522A" w:rsidRPr="008D6E11" w:rsidRDefault="0030522A" w:rsidP="0030522A">
      <w:pPr>
        <w:keepLines/>
        <w:widowControl w:val="0"/>
        <w:tabs>
          <w:tab w:val="left" w:pos="1418"/>
        </w:tabs>
        <w:spacing w:line="264" w:lineRule="auto"/>
        <w:ind w:left="2498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>II. 132kV up to 300kV: &gt; +/- 10% for &gt;</w:t>
      </w:r>
      <w:proofErr w:type="gramStart"/>
      <w:r w:rsidRPr="008D6E11">
        <w:rPr>
          <w:rFonts w:ascii="Arial" w:hAnsi="Arial" w:cs="Arial"/>
          <w:snapToGrid w:val="0"/>
          <w:sz w:val="20"/>
          <w:szCs w:val="20"/>
        </w:rPr>
        <w:t>15min;</w:t>
      </w:r>
      <w:proofErr w:type="gramEnd"/>
    </w:p>
    <w:p w14:paraId="2ABEE224" w14:textId="77777777" w:rsidR="0030522A" w:rsidRPr="008D6E11" w:rsidRDefault="0030522A" w:rsidP="0030522A">
      <w:pPr>
        <w:keepLines/>
        <w:widowControl w:val="0"/>
        <w:numPr>
          <w:ilvl w:val="0"/>
          <w:numId w:val="4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any known demand disconnected &gt;=50MW from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National Electricity Transmission System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or other lesser demand if notified to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The Company</w:t>
      </w:r>
      <w:r w:rsidRPr="008D6E11">
        <w:rPr>
          <w:rFonts w:ascii="Arial" w:hAnsi="Arial" w:cs="Arial"/>
          <w:snapToGrid w:val="0"/>
          <w:sz w:val="20"/>
          <w:szCs w:val="20"/>
        </w:rPr>
        <w:t>; and</w:t>
      </w:r>
    </w:p>
    <w:p w14:paraId="77F64163" w14:textId="77777777" w:rsidR="0030522A" w:rsidRPr="008D6E11" w:rsidRDefault="0030522A" w:rsidP="0030522A">
      <w:pPr>
        <w:keepLines/>
        <w:widowControl w:val="0"/>
        <w:numPr>
          <w:ilvl w:val="0"/>
          <w:numId w:val="4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any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Demand Control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action </w:t>
      </w:r>
      <w:proofErr w:type="gramStart"/>
      <w:r w:rsidRPr="008D6E11">
        <w:rPr>
          <w:rFonts w:ascii="Arial" w:hAnsi="Arial" w:cs="Arial"/>
          <w:snapToGrid w:val="0"/>
          <w:sz w:val="20"/>
          <w:szCs w:val="20"/>
        </w:rPr>
        <w:t>taken;</w:t>
      </w:r>
      <w:proofErr w:type="gramEnd"/>
    </w:p>
    <w:p w14:paraId="3D3769A7" w14:textId="77777777" w:rsidR="0030522A" w:rsidRPr="008D6E11" w:rsidRDefault="0030522A" w:rsidP="0030522A">
      <w:pPr>
        <w:keepLines/>
        <w:widowControl w:val="0"/>
        <w:numPr>
          <w:ilvl w:val="0"/>
          <w:numId w:val="3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a report of each such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Significant Event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including the following data in relation to each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Significant Event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as appropriate and available:</w:t>
      </w:r>
    </w:p>
    <w:p w14:paraId="11DCFAB8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the time(s) in </w:t>
      </w:r>
      <w:proofErr w:type="spellStart"/>
      <w:proofErr w:type="gramStart"/>
      <w:r w:rsidRPr="008D6E11">
        <w:rPr>
          <w:rFonts w:ascii="Arial" w:hAnsi="Arial" w:cs="Arial"/>
          <w:snapToGrid w:val="0"/>
          <w:sz w:val="20"/>
          <w:szCs w:val="20"/>
        </w:rPr>
        <w:t>hh.mm.ss</w:t>
      </w:r>
      <w:proofErr w:type="spellEnd"/>
      <w:proofErr w:type="gramEnd"/>
      <w:r w:rsidRPr="008D6E11">
        <w:rPr>
          <w:rFonts w:ascii="Arial" w:hAnsi="Arial" w:cs="Arial"/>
          <w:snapToGrid w:val="0"/>
          <w:sz w:val="20"/>
          <w:szCs w:val="20"/>
        </w:rPr>
        <w:t xml:space="preserve"> of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Significant Event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and any potentially related occurrences;</w:t>
      </w:r>
    </w:p>
    <w:p w14:paraId="658B3085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any known or reported loss of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Embedded Power Station(s)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with locations and ratings where </w:t>
      </w:r>
      <w:proofErr w:type="gramStart"/>
      <w:r w:rsidRPr="008D6E11">
        <w:rPr>
          <w:rFonts w:ascii="Arial" w:hAnsi="Arial" w:cs="Arial"/>
          <w:snapToGrid w:val="0"/>
          <w:sz w:val="20"/>
          <w:szCs w:val="20"/>
        </w:rPr>
        <w:t>available;</w:t>
      </w:r>
      <w:proofErr w:type="gramEnd"/>
      <w:r w:rsidRPr="008D6E11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27D149B1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Frequency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record (in table and graphical format) at &lt;=1 second intervals for 1 minute before and 1 minute after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 xml:space="preserve">Significant </w:t>
      </w:r>
      <w:proofErr w:type="gramStart"/>
      <w:r w:rsidRPr="008D6E11">
        <w:rPr>
          <w:rFonts w:ascii="Arial" w:hAnsi="Arial" w:cs="Arial"/>
          <w:b/>
          <w:snapToGrid w:val="0"/>
          <w:sz w:val="20"/>
          <w:szCs w:val="20"/>
        </w:rPr>
        <w:t>Event</w:t>
      </w:r>
      <w:r w:rsidRPr="008D6E11">
        <w:rPr>
          <w:rFonts w:ascii="Arial" w:hAnsi="Arial" w:cs="Arial"/>
          <w:snapToGrid w:val="0"/>
          <w:sz w:val="20"/>
          <w:szCs w:val="20"/>
        </w:rPr>
        <w:t>;</w:t>
      </w:r>
      <w:proofErr w:type="gramEnd"/>
      <w:r w:rsidRPr="008D6E11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2304C9F1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Frequency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(to 2 decimal places) immediately before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 xml:space="preserve">Significant </w:t>
      </w:r>
      <w:proofErr w:type="gramStart"/>
      <w:r w:rsidRPr="008D6E11">
        <w:rPr>
          <w:rFonts w:ascii="Arial" w:hAnsi="Arial" w:cs="Arial"/>
          <w:b/>
          <w:snapToGrid w:val="0"/>
          <w:sz w:val="20"/>
          <w:szCs w:val="20"/>
        </w:rPr>
        <w:t>Event</w:t>
      </w:r>
      <w:r w:rsidRPr="008D6E11">
        <w:rPr>
          <w:rFonts w:ascii="Arial" w:hAnsi="Arial" w:cs="Arial"/>
          <w:snapToGrid w:val="0"/>
          <w:sz w:val="20"/>
          <w:szCs w:val="20"/>
        </w:rPr>
        <w:t>;</w:t>
      </w:r>
      <w:proofErr w:type="gramEnd"/>
      <w:r w:rsidRPr="008D6E11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09C3F6B3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lastRenderedPageBreak/>
        <w:t xml:space="preserve">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Frequency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(to 2 decimal places) immediately after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 xml:space="preserve">Significant </w:t>
      </w:r>
      <w:proofErr w:type="gramStart"/>
      <w:r w:rsidRPr="008D6E11">
        <w:rPr>
          <w:rFonts w:ascii="Arial" w:hAnsi="Arial" w:cs="Arial"/>
          <w:b/>
          <w:snapToGrid w:val="0"/>
          <w:sz w:val="20"/>
          <w:szCs w:val="20"/>
        </w:rPr>
        <w:t>Event</w:t>
      </w:r>
      <w:r w:rsidRPr="008D6E11">
        <w:rPr>
          <w:rFonts w:ascii="Arial" w:hAnsi="Arial" w:cs="Arial"/>
          <w:snapToGrid w:val="0"/>
          <w:sz w:val="20"/>
          <w:szCs w:val="20"/>
        </w:rPr>
        <w:t>;</w:t>
      </w:r>
      <w:proofErr w:type="gramEnd"/>
      <w:r w:rsidRPr="008D6E11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3DDBE3D4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the maximum rate of change of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Frequency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recorded during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Significant Event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over a specified time period of </w:t>
      </w:r>
      <w:proofErr w:type="gramStart"/>
      <w:r w:rsidRPr="008D6E11">
        <w:rPr>
          <w:rFonts w:ascii="Arial" w:hAnsi="Arial" w:cs="Arial"/>
          <w:snapToGrid w:val="0"/>
          <w:sz w:val="20"/>
          <w:szCs w:val="20"/>
        </w:rPr>
        <w:t>500ms;</w:t>
      </w:r>
      <w:proofErr w:type="gramEnd"/>
      <w:r w:rsidRPr="008D6E11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37C01BB3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where known, the MW of all individual losses or trips related to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 xml:space="preserve">Significant </w:t>
      </w:r>
      <w:proofErr w:type="gramStart"/>
      <w:r w:rsidRPr="008D6E11">
        <w:rPr>
          <w:rFonts w:ascii="Arial" w:hAnsi="Arial" w:cs="Arial"/>
          <w:b/>
          <w:snapToGrid w:val="0"/>
          <w:sz w:val="20"/>
          <w:szCs w:val="20"/>
        </w:rPr>
        <w:t>Event</w:t>
      </w:r>
      <w:r w:rsidRPr="008D6E11">
        <w:rPr>
          <w:rFonts w:ascii="Arial" w:hAnsi="Arial" w:cs="Arial"/>
          <w:snapToGrid w:val="0"/>
          <w:sz w:val="20"/>
          <w:szCs w:val="20"/>
        </w:rPr>
        <w:t>;</w:t>
      </w:r>
      <w:proofErr w:type="gramEnd"/>
      <w:r w:rsidRPr="008D6E11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5FF37A24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where known, the identity of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Users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and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Network Operator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of all demand losses or trips related to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 xml:space="preserve">Significant </w:t>
      </w:r>
      <w:proofErr w:type="gramStart"/>
      <w:r w:rsidRPr="008D6E11">
        <w:rPr>
          <w:rFonts w:ascii="Arial" w:hAnsi="Arial" w:cs="Arial"/>
          <w:b/>
          <w:snapToGrid w:val="0"/>
          <w:sz w:val="20"/>
          <w:szCs w:val="20"/>
        </w:rPr>
        <w:t>Event</w:t>
      </w:r>
      <w:r w:rsidRPr="008D6E11">
        <w:rPr>
          <w:rFonts w:ascii="Arial" w:hAnsi="Arial" w:cs="Arial"/>
          <w:snapToGrid w:val="0"/>
          <w:sz w:val="20"/>
          <w:szCs w:val="20"/>
        </w:rPr>
        <w:t>;</w:t>
      </w:r>
      <w:proofErr w:type="gramEnd"/>
    </w:p>
    <w:p w14:paraId="1AA1A84C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the location of any reported </w:t>
      </w:r>
      <w:r w:rsidRPr="008D6E11">
        <w:rPr>
          <w:rFonts w:ascii="Arial" w:hAnsi="Arial" w:cs="Arial"/>
          <w:b/>
          <w:snapToGrid w:val="0"/>
          <w:sz w:val="20"/>
          <w:szCs w:val="20"/>
        </w:rPr>
        <w:t xml:space="preserve">Transmission 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fault on the network diagram and </w:t>
      </w:r>
      <w:proofErr w:type="gramStart"/>
      <w:r w:rsidRPr="008D6E11">
        <w:rPr>
          <w:rFonts w:ascii="Arial" w:hAnsi="Arial" w:cs="Arial"/>
          <w:snapToGrid w:val="0"/>
          <w:sz w:val="20"/>
          <w:szCs w:val="20"/>
        </w:rPr>
        <w:t>geographically;</w:t>
      </w:r>
      <w:proofErr w:type="gramEnd"/>
      <w:r w:rsidRPr="008D6E11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46C230B1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the extent of any voltage dip associated with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 xml:space="preserve">Significant </w:t>
      </w:r>
      <w:proofErr w:type="gramStart"/>
      <w:r w:rsidRPr="008D6E11">
        <w:rPr>
          <w:rFonts w:ascii="Arial" w:hAnsi="Arial" w:cs="Arial"/>
          <w:b/>
          <w:snapToGrid w:val="0"/>
          <w:sz w:val="20"/>
          <w:szCs w:val="20"/>
        </w:rPr>
        <w:t>Event</w:t>
      </w:r>
      <w:r w:rsidRPr="008D6E11">
        <w:rPr>
          <w:rFonts w:ascii="Arial" w:hAnsi="Arial" w:cs="Arial"/>
          <w:snapToGrid w:val="0"/>
          <w:sz w:val="20"/>
          <w:szCs w:val="20"/>
        </w:rPr>
        <w:t>;</w:t>
      </w:r>
      <w:proofErr w:type="gramEnd"/>
      <w:r w:rsidRPr="008D6E11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22D2E246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an estimate of system inertia in MWs at the time of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Significant Event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along with how it has been calculated; and </w:t>
      </w:r>
    </w:p>
    <w:p w14:paraId="0F3F6775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  <w:u w:val="single"/>
        </w:rPr>
      </w:pPr>
      <w:r w:rsidRPr="008D6E11">
        <w:rPr>
          <w:rFonts w:ascii="Arial" w:hAnsi="Arial" w:cs="Arial"/>
          <w:snapToGrid w:val="0"/>
          <w:sz w:val="20"/>
          <w:szCs w:val="20"/>
        </w:rPr>
        <w:t>any other data available that is of value to gain a clearer understanding of the Significant Event and its potential implications; and</w:t>
      </w:r>
    </w:p>
    <w:p w14:paraId="0E70A6AF" w14:textId="77777777" w:rsidR="0030522A" w:rsidRPr="008D6E11" w:rsidRDefault="0030522A" w:rsidP="0030522A">
      <w:pPr>
        <w:keepLines/>
        <w:widowControl w:val="0"/>
        <w:numPr>
          <w:ilvl w:val="0"/>
          <w:numId w:val="3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an outline of progress towards reporting events and associated data on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National Electricity Transmission System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including: </w:t>
      </w:r>
    </w:p>
    <w:p w14:paraId="12B73D60" w14:textId="77777777" w:rsidR="0030522A" w:rsidRPr="008D6E11" w:rsidRDefault="0030522A" w:rsidP="0030522A">
      <w:pPr>
        <w:keepLines/>
        <w:widowControl w:val="0"/>
        <w:numPr>
          <w:ilvl w:val="0"/>
          <w:numId w:val="6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three phase </w:t>
      </w:r>
      <w:proofErr w:type="gramStart"/>
      <w:r w:rsidRPr="008D6E11">
        <w:rPr>
          <w:rFonts w:ascii="Arial" w:hAnsi="Arial" w:cs="Arial"/>
          <w:snapToGrid w:val="0"/>
          <w:sz w:val="20"/>
          <w:szCs w:val="20"/>
        </w:rPr>
        <w:t>faults;</w:t>
      </w:r>
      <w:proofErr w:type="gramEnd"/>
    </w:p>
    <w:p w14:paraId="1ABA4F63" w14:textId="77777777" w:rsidR="0030522A" w:rsidRPr="008D6E11" w:rsidRDefault="0030522A" w:rsidP="0030522A">
      <w:pPr>
        <w:keepLines/>
        <w:widowControl w:val="0"/>
        <w:numPr>
          <w:ilvl w:val="0"/>
          <w:numId w:val="6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three </w:t>
      </w:r>
      <w:proofErr w:type="gramStart"/>
      <w:r w:rsidRPr="008D6E11">
        <w:rPr>
          <w:rFonts w:ascii="Arial" w:hAnsi="Arial" w:cs="Arial"/>
          <w:snapToGrid w:val="0"/>
          <w:sz w:val="20"/>
          <w:szCs w:val="20"/>
        </w:rPr>
        <w:t>phase</w:t>
      </w:r>
      <w:proofErr w:type="gramEnd"/>
      <w:r w:rsidRPr="008D6E11">
        <w:rPr>
          <w:rFonts w:ascii="Arial" w:hAnsi="Arial" w:cs="Arial"/>
          <w:snapToGrid w:val="0"/>
          <w:sz w:val="20"/>
          <w:szCs w:val="20"/>
        </w:rPr>
        <w:t xml:space="preserve"> to earth faults;</w:t>
      </w:r>
    </w:p>
    <w:p w14:paraId="788455B0" w14:textId="77777777" w:rsidR="0030522A" w:rsidRPr="008D6E11" w:rsidRDefault="0030522A" w:rsidP="0030522A">
      <w:pPr>
        <w:keepLines/>
        <w:widowControl w:val="0"/>
        <w:numPr>
          <w:ilvl w:val="0"/>
          <w:numId w:val="6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phase to phase </w:t>
      </w:r>
      <w:proofErr w:type="gramStart"/>
      <w:r w:rsidRPr="008D6E11">
        <w:rPr>
          <w:rFonts w:ascii="Arial" w:hAnsi="Arial" w:cs="Arial"/>
          <w:snapToGrid w:val="0"/>
          <w:sz w:val="20"/>
          <w:szCs w:val="20"/>
        </w:rPr>
        <w:t>faults;</w:t>
      </w:r>
      <w:proofErr w:type="gramEnd"/>
    </w:p>
    <w:p w14:paraId="07D84125" w14:textId="77777777" w:rsidR="0030522A" w:rsidRPr="008D6E11" w:rsidRDefault="0030522A" w:rsidP="0030522A">
      <w:pPr>
        <w:keepLines/>
        <w:widowControl w:val="0"/>
        <w:numPr>
          <w:ilvl w:val="0"/>
          <w:numId w:val="6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phase to earth </w:t>
      </w:r>
      <w:proofErr w:type="gramStart"/>
      <w:r w:rsidRPr="008D6E11">
        <w:rPr>
          <w:rFonts w:ascii="Arial" w:hAnsi="Arial" w:cs="Arial"/>
          <w:snapToGrid w:val="0"/>
          <w:sz w:val="20"/>
          <w:szCs w:val="20"/>
        </w:rPr>
        <w:t>faults;</w:t>
      </w:r>
      <w:proofErr w:type="gramEnd"/>
    </w:p>
    <w:p w14:paraId="0E47D3D4" w14:textId="77777777" w:rsidR="0030522A" w:rsidRPr="008D6E11" w:rsidRDefault="0030522A" w:rsidP="0030522A">
      <w:pPr>
        <w:keepLines/>
        <w:widowControl w:val="0"/>
        <w:numPr>
          <w:ilvl w:val="0"/>
          <w:numId w:val="6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the associated voltage dips – durations and </w:t>
      </w:r>
      <w:proofErr w:type="gramStart"/>
      <w:r w:rsidRPr="008D6E11">
        <w:rPr>
          <w:rFonts w:ascii="Arial" w:hAnsi="Arial" w:cs="Arial"/>
          <w:snapToGrid w:val="0"/>
          <w:sz w:val="20"/>
          <w:szCs w:val="20"/>
        </w:rPr>
        <w:t>spreads;</w:t>
      </w:r>
      <w:proofErr w:type="gramEnd"/>
    </w:p>
    <w:p w14:paraId="74962602" w14:textId="77777777" w:rsidR="0030522A" w:rsidRPr="008D6E11" w:rsidRDefault="0030522A" w:rsidP="0030522A">
      <w:pPr>
        <w:keepLines/>
        <w:widowControl w:val="0"/>
        <w:numPr>
          <w:ilvl w:val="0"/>
          <w:numId w:val="6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>over-</w:t>
      </w:r>
      <w:proofErr w:type="gramStart"/>
      <w:r w:rsidRPr="008D6E11">
        <w:rPr>
          <w:rFonts w:ascii="Arial" w:hAnsi="Arial" w:cs="Arial"/>
          <w:snapToGrid w:val="0"/>
          <w:sz w:val="20"/>
          <w:szCs w:val="20"/>
        </w:rPr>
        <w:t>voltages;</w:t>
      </w:r>
      <w:proofErr w:type="gramEnd"/>
    </w:p>
    <w:p w14:paraId="3F3D0B32" w14:textId="77777777" w:rsidR="0030522A" w:rsidRPr="008D6E11" w:rsidRDefault="0030522A" w:rsidP="0030522A">
      <w:pPr>
        <w:keepLines/>
        <w:widowControl w:val="0"/>
        <w:numPr>
          <w:ilvl w:val="0"/>
          <w:numId w:val="6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>under-</w:t>
      </w:r>
      <w:proofErr w:type="gramStart"/>
      <w:r w:rsidRPr="008D6E11">
        <w:rPr>
          <w:rFonts w:ascii="Arial" w:hAnsi="Arial" w:cs="Arial"/>
          <w:snapToGrid w:val="0"/>
          <w:sz w:val="20"/>
          <w:szCs w:val="20"/>
        </w:rPr>
        <w:t>voltages;</w:t>
      </w:r>
      <w:proofErr w:type="gramEnd"/>
    </w:p>
    <w:p w14:paraId="23E3495E" w14:textId="77777777" w:rsidR="0030522A" w:rsidRPr="008D6E11" w:rsidRDefault="0030522A" w:rsidP="0030522A">
      <w:pPr>
        <w:keepLines/>
        <w:widowControl w:val="0"/>
        <w:numPr>
          <w:ilvl w:val="0"/>
          <w:numId w:val="6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>voltage dips of &gt;50%; and</w:t>
      </w:r>
    </w:p>
    <w:p w14:paraId="61826A92" w14:textId="77777777" w:rsidR="0030522A" w:rsidRPr="008D6E11" w:rsidRDefault="0030522A" w:rsidP="0030522A">
      <w:pPr>
        <w:keepLines/>
        <w:widowControl w:val="0"/>
        <w:numPr>
          <w:ilvl w:val="0"/>
          <w:numId w:val="6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>lightning strikes.</w:t>
      </w:r>
    </w:p>
    <w:p w14:paraId="0F28B1B8" w14:textId="77777777" w:rsidR="0030522A" w:rsidRPr="008D6E11" w:rsidRDefault="0030522A" w:rsidP="006D5E2D">
      <w:pPr>
        <w:keepLines/>
        <w:widowControl w:val="0"/>
        <w:tabs>
          <w:tab w:val="left" w:pos="1418"/>
        </w:tabs>
        <w:spacing w:after="0" w:line="264" w:lineRule="auto"/>
        <w:ind w:left="1418" w:hanging="1418"/>
        <w:jc w:val="both"/>
        <w:rPr>
          <w:rFonts w:ascii="Arial" w:hAnsi="Arial" w:cs="Arial"/>
          <w:snapToGrid w:val="0"/>
          <w:color w:val="FF0000"/>
          <w:sz w:val="20"/>
          <w:szCs w:val="20"/>
          <w:u w:val="single"/>
        </w:rPr>
      </w:pPr>
    </w:p>
    <w:p w14:paraId="545EA0AB" w14:textId="77777777" w:rsidR="00846DF6" w:rsidRPr="002A4ECD" w:rsidRDefault="00846DF6" w:rsidP="00846DF6">
      <w:pPr>
        <w:keepLines/>
        <w:widowControl w:val="0"/>
        <w:tabs>
          <w:tab w:val="left" w:pos="1418"/>
        </w:tabs>
        <w:spacing w:after="0" w:line="264" w:lineRule="auto"/>
        <w:ind w:left="1418" w:hanging="1418"/>
        <w:jc w:val="both"/>
        <w:rPr>
          <w:rFonts w:ascii="Arial" w:hAnsi="Arial" w:cs="Arial"/>
          <w:snapToGrid w:val="0"/>
          <w:color w:val="FF0000"/>
          <w:sz w:val="20"/>
          <w:szCs w:val="20"/>
        </w:rPr>
      </w:pPr>
      <w:bookmarkStart w:id="5" w:name="_Hlk79589974"/>
      <w:r w:rsidRPr="002A4ECD">
        <w:rPr>
          <w:rFonts w:ascii="Arial" w:hAnsi="Arial" w:cs="Arial"/>
          <w:snapToGrid w:val="0"/>
          <w:color w:val="FF0000"/>
          <w:sz w:val="20"/>
          <w:szCs w:val="20"/>
        </w:rPr>
        <w:t xml:space="preserve">OC3.5 </w:t>
      </w:r>
      <w:r w:rsidRPr="002A4ECD">
        <w:rPr>
          <w:rFonts w:ascii="Arial" w:hAnsi="Arial" w:cs="Arial"/>
          <w:snapToGrid w:val="0"/>
          <w:color w:val="FF0000"/>
          <w:sz w:val="20"/>
          <w:szCs w:val="20"/>
        </w:rPr>
        <w:tab/>
      </w:r>
      <w:r w:rsidRPr="002A4ECD">
        <w:rPr>
          <w:rFonts w:ascii="Arial" w:hAnsi="Arial" w:cs="Arial"/>
          <w:color w:val="FF0000"/>
          <w:sz w:val="20"/>
          <w:szCs w:val="20"/>
        </w:rPr>
        <w:t>REPORTING ON FAULT EVENTS</w:t>
      </w:r>
    </w:p>
    <w:p w14:paraId="4D46910B" w14:textId="77777777" w:rsidR="00846DF6" w:rsidRPr="002A4ECD" w:rsidRDefault="00846DF6" w:rsidP="00846DF6">
      <w:pPr>
        <w:keepLines/>
        <w:widowControl w:val="0"/>
        <w:tabs>
          <w:tab w:val="left" w:pos="1418"/>
        </w:tabs>
        <w:spacing w:after="0" w:line="264" w:lineRule="auto"/>
        <w:ind w:left="1418" w:hanging="1418"/>
        <w:jc w:val="both"/>
        <w:rPr>
          <w:rFonts w:ascii="Arial" w:hAnsi="Arial" w:cs="Arial"/>
          <w:snapToGrid w:val="0"/>
          <w:color w:val="FF0000"/>
          <w:sz w:val="20"/>
          <w:szCs w:val="20"/>
        </w:rPr>
      </w:pPr>
    </w:p>
    <w:p w14:paraId="2737336E" w14:textId="379C2B4E" w:rsidR="00846DF6" w:rsidRPr="002A4ECD" w:rsidRDefault="00846DF6" w:rsidP="00846DF6">
      <w:pPr>
        <w:keepLines/>
        <w:widowControl w:val="0"/>
        <w:tabs>
          <w:tab w:val="left" w:pos="1418"/>
        </w:tabs>
        <w:spacing w:after="0" w:line="264" w:lineRule="auto"/>
        <w:ind w:left="1418" w:hanging="1418"/>
        <w:jc w:val="both"/>
        <w:rPr>
          <w:rFonts w:ascii="Arial" w:hAnsi="Arial" w:cs="Arial"/>
          <w:snapToGrid w:val="0"/>
          <w:color w:val="FF0000"/>
          <w:sz w:val="20"/>
          <w:szCs w:val="20"/>
        </w:rPr>
      </w:pPr>
      <w:r w:rsidRPr="002A4ECD">
        <w:rPr>
          <w:rFonts w:ascii="Arial" w:hAnsi="Arial" w:cs="Arial"/>
          <w:snapToGrid w:val="0"/>
          <w:color w:val="FF0000"/>
          <w:sz w:val="20"/>
          <w:szCs w:val="20"/>
        </w:rPr>
        <w:t xml:space="preserve">OC.3.5.1 </w:t>
      </w:r>
      <w:r w:rsidRPr="002A4ECD">
        <w:rPr>
          <w:rFonts w:ascii="Arial" w:hAnsi="Arial" w:cs="Arial"/>
          <w:snapToGrid w:val="0"/>
          <w:color w:val="FF0000"/>
          <w:sz w:val="20"/>
          <w:szCs w:val="20"/>
        </w:rPr>
        <w:tab/>
      </w:r>
      <w:r w:rsidRPr="002A4ECD">
        <w:rPr>
          <w:rFonts w:ascii="Arial" w:hAnsi="Arial" w:cs="Arial"/>
          <w:b/>
          <w:snapToGrid w:val="0"/>
          <w:color w:val="FF0000"/>
          <w:sz w:val="20"/>
          <w:szCs w:val="20"/>
        </w:rPr>
        <w:t>The Company</w:t>
      </w:r>
      <w:r w:rsidRPr="002A4ECD">
        <w:rPr>
          <w:rFonts w:ascii="Arial" w:hAnsi="Arial" w:cs="Arial"/>
          <w:snapToGrid w:val="0"/>
          <w:color w:val="FF0000"/>
          <w:sz w:val="20"/>
          <w:szCs w:val="20"/>
        </w:rPr>
        <w:t xml:space="preserve"> shall prepare and publish on their website a report giving date, time and location of actual three phase, three </w:t>
      </w:r>
      <w:proofErr w:type="gramStart"/>
      <w:r w:rsidRPr="002A4ECD">
        <w:rPr>
          <w:rFonts w:ascii="Arial" w:hAnsi="Arial" w:cs="Arial"/>
          <w:snapToGrid w:val="0"/>
          <w:color w:val="FF0000"/>
          <w:sz w:val="20"/>
          <w:szCs w:val="20"/>
        </w:rPr>
        <w:t>phase</w:t>
      </w:r>
      <w:proofErr w:type="gramEnd"/>
      <w:r w:rsidRPr="002A4ECD">
        <w:rPr>
          <w:rFonts w:ascii="Arial" w:hAnsi="Arial" w:cs="Arial"/>
          <w:snapToGrid w:val="0"/>
          <w:color w:val="FF0000"/>
          <w:sz w:val="20"/>
          <w:szCs w:val="20"/>
        </w:rPr>
        <w:t xml:space="preserve"> to earth, phase to phase and phase to earth fault events on the </w:t>
      </w:r>
      <w:r w:rsidRPr="002A4ECD">
        <w:rPr>
          <w:rFonts w:ascii="Arial" w:hAnsi="Arial" w:cs="Arial"/>
          <w:b/>
          <w:snapToGrid w:val="0"/>
          <w:color w:val="FF0000"/>
          <w:sz w:val="20"/>
          <w:szCs w:val="20"/>
        </w:rPr>
        <w:t>National Electricity Transmission System</w:t>
      </w:r>
      <w:r w:rsidRPr="002A4ECD">
        <w:rPr>
          <w:rFonts w:ascii="Arial" w:hAnsi="Arial" w:cs="Arial"/>
          <w:bCs/>
          <w:snapToGrid w:val="0"/>
          <w:color w:val="FF0000"/>
          <w:sz w:val="20"/>
          <w:szCs w:val="20"/>
        </w:rPr>
        <w:t xml:space="preserve">.  Information shall be published as soon as reasonably practicable following </w:t>
      </w:r>
      <w:r w:rsidR="00E82783" w:rsidRPr="002A4ECD">
        <w:rPr>
          <w:rFonts w:ascii="Arial" w:hAnsi="Arial" w:cs="Arial"/>
          <w:bCs/>
          <w:snapToGrid w:val="0"/>
          <w:color w:val="FF0000"/>
          <w:sz w:val="20"/>
          <w:szCs w:val="20"/>
        </w:rPr>
        <w:t xml:space="preserve">such </w:t>
      </w:r>
      <w:r w:rsidRPr="002A4ECD">
        <w:rPr>
          <w:rFonts w:ascii="Arial" w:hAnsi="Arial" w:cs="Arial"/>
          <w:bCs/>
          <w:snapToGrid w:val="0"/>
          <w:color w:val="FF0000"/>
          <w:sz w:val="20"/>
          <w:szCs w:val="20"/>
        </w:rPr>
        <w:t xml:space="preserve">an event.  For faults in which a fault ride through issue was found, where available, appropriate waveform information will be provided.  </w:t>
      </w:r>
    </w:p>
    <w:p w14:paraId="0BBCD409" w14:textId="77777777" w:rsidR="00846DF6" w:rsidRPr="002A4ECD" w:rsidRDefault="00846DF6" w:rsidP="00846DF6">
      <w:pPr>
        <w:keepLines/>
        <w:widowControl w:val="0"/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</w:p>
    <w:p w14:paraId="661F2546" w14:textId="7B15E8CC" w:rsidR="00846DF6" w:rsidRPr="002A4ECD" w:rsidRDefault="00846DF6" w:rsidP="00846DF6">
      <w:pPr>
        <w:pStyle w:val="Level1Text"/>
        <w:rPr>
          <w:rFonts w:cs="Arial"/>
          <w:color w:val="FF0000"/>
        </w:rPr>
      </w:pPr>
      <w:r w:rsidRPr="002A4ECD">
        <w:rPr>
          <w:rFonts w:cs="Arial"/>
          <w:color w:val="FF0000"/>
        </w:rPr>
        <w:t>OC3.6</w:t>
      </w:r>
      <w:r w:rsidRPr="002A4ECD">
        <w:rPr>
          <w:rFonts w:cs="Arial"/>
          <w:color w:val="FF0000"/>
        </w:rPr>
        <w:tab/>
        <w:t>REPORTING ON LEARNING</w:t>
      </w:r>
    </w:p>
    <w:p w14:paraId="53E5DD9F" w14:textId="54C815D7" w:rsidR="00846DF6" w:rsidRPr="002A4ECD" w:rsidRDefault="00846DF6" w:rsidP="00846DF6">
      <w:pPr>
        <w:tabs>
          <w:tab w:val="left" w:pos="1418"/>
        </w:tabs>
        <w:ind w:left="1418" w:hanging="1418"/>
        <w:jc w:val="both"/>
        <w:rPr>
          <w:rFonts w:ascii="Arial" w:hAnsi="Arial" w:cs="Arial"/>
          <w:color w:val="FF0000"/>
          <w:sz w:val="20"/>
          <w:szCs w:val="20"/>
        </w:rPr>
      </w:pPr>
      <w:r w:rsidRPr="002A4ECD">
        <w:rPr>
          <w:rFonts w:ascii="Arial" w:hAnsi="Arial" w:cs="Arial"/>
          <w:color w:val="FF0000"/>
          <w:sz w:val="20"/>
          <w:szCs w:val="20"/>
        </w:rPr>
        <w:t xml:space="preserve">OC3.6.1       Where the analysis of events occurring on the </w:t>
      </w:r>
      <w:r w:rsidRPr="002A4ECD">
        <w:rPr>
          <w:rFonts w:ascii="Arial" w:hAnsi="Arial" w:cs="Arial"/>
          <w:b/>
          <w:color w:val="FF0000"/>
          <w:sz w:val="20"/>
          <w:szCs w:val="20"/>
        </w:rPr>
        <w:t>National Electricity Transmission System</w:t>
      </w:r>
      <w:r w:rsidRPr="002A4ECD">
        <w:rPr>
          <w:rFonts w:ascii="Arial" w:hAnsi="Arial" w:cs="Arial"/>
          <w:color w:val="FF0000"/>
          <w:sz w:val="20"/>
          <w:szCs w:val="20"/>
        </w:rPr>
        <w:t xml:space="preserve"> </w:t>
      </w:r>
      <w:bookmarkStart w:id="6" w:name="_Hlk80967845"/>
      <w:r w:rsidR="009157FB" w:rsidRPr="002A4ECD">
        <w:rPr>
          <w:rFonts w:ascii="Arial" w:hAnsi="Arial" w:cs="Arial"/>
          <w:color w:val="FF0000"/>
          <w:sz w:val="20"/>
          <w:szCs w:val="20"/>
        </w:rPr>
        <w:t xml:space="preserve">as set out in OC3.5.1 </w:t>
      </w:r>
      <w:bookmarkEnd w:id="6"/>
      <w:r w:rsidRPr="002A4ECD">
        <w:rPr>
          <w:rFonts w:ascii="Arial" w:hAnsi="Arial" w:cs="Arial"/>
          <w:color w:val="FF0000"/>
          <w:sz w:val="20"/>
          <w:szCs w:val="20"/>
        </w:rPr>
        <w:t xml:space="preserve">gives rise to learning points which </w:t>
      </w:r>
      <w:r w:rsidRPr="002A4ECD">
        <w:rPr>
          <w:rFonts w:ascii="Arial" w:hAnsi="Arial" w:cs="Arial"/>
          <w:b/>
          <w:color w:val="FF0000"/>
          <w:sz w:val="20"/>
          <w:szCs w:val="20"/>
        </w:rPr>
        <w:t>The Company</w:t>
      </w:r>
      <w:r w:rsidRPr="002A4ECD">
        <w:rPr>
          <w:rFonts w:ascii="Arial" w:hAnsi="Arial" w:cs="Arial"/>
          <w:color w:val="FF0000"/>
          <w:sz w:val="20"/>
          <w:szCs w:val="20"/>
        </w:rPr>
        <w:t xml:space="preserve"> believes are relevant to the industry, </w:t>
      </w:r>
      <w:r w:rsidRPr="002A4ECD">
        <w:rPr>
          <w:rFonts w:ascii="Arial" w:hAnsi="Arial" w:cs="Arial"/>
          <w:b/>
          <w:color w:val="FF0000"/>
          <w:sz w:val="20"/>
          <w:szCs w:val="20"/>
        </w:rPr>
        <w:t>The Company</w:t>
      </w:r>
      <w:r w:rsidRPr="002A4ECD">
        <w:rPr>
          <w:rFonts w:ascii="Arial" w:hAnsi="Arial" w:cs="Arial"/>
          <w:color w:val="FF0000"/>
          <w:sz w:val="20"/>
          <w:szCs w:val="20"/>
        </w:rPr>
        <w:t xml:space="preserve"> will publish a report explaining the events, the analysis and information gained as applicable. The contents of the report will be anonymised to avoid identification of </w:t>
      </w:r>
      <w:r w:rsidRPr="002A4ECD">
        <w:rPr>
          <w:rFonts w:ascii="Arial" w:hAnsi="Arial" w:cs="Arial"/>
          <w:b/>
          <w:bCs/>
          <w:color w:val="FF0000"/>
          <w:sz w:val="20"/>
          <w:szCs w:val="20"/>
        </w:rPr>
        <w:t>Users</w:t>
      </w:r>
      <w:r w:rsidRPr="002A4ECD">
        <w:rPr>
          <w:rFonts w:ascii="Arial" w:hAnsi="Arial" w:cs="Arial"/>
          <w:color w:val="FF0000"/>
          <w:sz w:val="20"/>
          <w:szCs w:val="20"/>
        </w:rPr>
        <w:t xml:space="preserve">, connection sites and manufacturers of </w:t>
      </w:r>
      <w:r w:rsidRPr="002A4ECD">
        <w:rPr>
          <w:rFonts w:ascii="Arial" w:hAnsi="Arial" w:cs="Arial"/>
          <w:b/>
          <w:bCs/>
          <w:color w:val="FF0000"/>
          <w:sz w:val="20"/>
          <w:szCs w:val="20"/>
        </w:rPr>
        <w:t>Plant</w:t>
      </w:r>
      <w:r w:rsidRPr="002A4ECD">
        <w:rPr>
          <w:rFonts w:ascii="Arial" w:hAnsi="Arial" w:cs="Arial"/>
          <w:color w:val="FF0000"/>
          <w:sz w:val="20"/>
          <w:szCs w:val="20"/>
        </w:rPr>
        <w:t xml:space="preserve"> and </w:t>
      </w:r>
      <w:r w:rsidRPr="002A4ECD">
        <w:rPr>
          <w:rFonts w:ascii="Arial" w:hAnsi="Arial" w:cs="Arial"/>
          <w:b/>
          <w:bCs/>
          <w:color w:val="FF0000"/>
          <w:sz w:val="20"/>
          <w:szCs w:val="20"/>
        </w:rPr>
        <w:t>Apparatus</w:t>
      </w:r>
      <w:r w:rsidRPr="002A4ECD">
        <w:rPr>
          <w:rFonts w:ascii="Arial" w:hAnsi="Arial" w:cs="Arial"/>
          <w:color w:val="FF0000"/>
          <w:sz w:val="20"/>
          <w:szCs w:val="20"/>
        </w:rPr>
        <w:t xml:space="preserve"> except in circumstances where OC3.6.2 applies. Where information sourced from </w:t>
      </w:r>
      <w:r w:rsidRPr="002A4ECD">
        <w:rPr>
          <w:rFonts w:ascii="Arial" w:hAnsi="Arial" w:cs="Arial"/>
          <w:b/>
          <w:color w:val="FF0000"/>
          <w:sz w:val="20"/>
          <w:szCs w:val="20"/>
        </w:rPr>
        <w:t>Users</w:t>
      </w:r>
      <w:r w:rsidRPr="002A4ECD">
        <w:rPr>
          <w:rFonts w:ascii="Arial" w:hAnsi="Arial" w:cs="Arial"/>
          <w:color w:val="FF0000"/>
          <w:sz w:val="20"/>
          <w:szCs w:val="20"/>
        </w:rPr>
        <w:t xml:space="preserve"> or manufacturers is included, permission will be sought before publication.  </w:t>
      </w:r>
    </w:p>
    <w:p w14:paraId="34740BE2" w14:textId="50615695" w:rsidR="00846DF6" w:rsidRPr="002A4ECD" w:rsidRDefault="00846DF6" w:rsidP="00846DF6">
      <w:pPr>
        <w:ind w:left="1418" w:hanging="1418"/>
        <w:jc w:val="both"/>
        <w:rPr>
          <w:rFonts w:ascii="Arial" w:hAnsi="Arial" w:cs="Arial"/>
          <w:color w:val="FF0000"/>
          <w:sz w:val="20"/>
          <w:szCs w:val="20"/>
        </w:rPr>
      </w:pPr>
      <w:r w:rsidRPr="002A4ECD">
        <w:rPr>
          <w:rFonts w:ascii="Arial" w:hAnsi="Arial" w:cs="Arial"/>
          <w:color w:val="FF0000"/>
          <w:sz w:val="20"/>
          <w:szCs w:val="20"/>
        </w:rPr>
        <w:t>OC3.6.2</w:t>
      </w:r>
      <w:r w:rsidR="006329A3" w:rsidRPr="002A4ECD">
        <w:rPr>
          <w:rFonts w:ascii="Arial" w:hAnsi="Arial" w:cs="Arial"/>
          <w:color w:val="FF0000"/>
          <w:sz w:val="20"/>
          <w:szCs w:val="20"/>
        </w:rPr>
        <w:tab/>
      </w:r>
      <w:r w:rsidRPr="002A4ECD">
        <w:rPr>
          <w:rFonts w:ascii="Arial" w:hAnsi="Arial" w:cs="Arial"/>
          <w:color w:val="FF0000"/>
          <w:sz w:val="20"/>
          <w:szCs w:val="20"/>
        </w:rPr>
        <w:t xml:space="preserve">Where </w:t>
      </w:r>
      <w:proofErr w:type="gramStart"/>
      <w:r w:rsidRPr="002A4ECD">
        <w:rPr>
          <w:rFonts w:ascii="Arial" w:hAnsi="Arial" w:cs="Arial"/>
          <w:b/>
          <w:color w:val="FF0000"/>
          <w:sz w:val="20"/>
          <w:szCs w:val="20"/>
        </w:rPr>
        <w:t>The</w:t>
      </w:r>
      <w:proofErr w:type="gramEnd"/>
      <w:r w:rsidRPr="002A4ECD">
        <w:rPr>
          <w:rFonts w:ascii="Arial" w:hAnsi="Arial" w:cs="Arial"/>
          <w:b/>
          <w:color w:val="FF0000"/>
          <w:sz w:val="20"/>
          <w:szCs w:val="20"/>
        </w:rPr>
        <w:t xml:space="preserve"> Company</w:t>
      </w:r>
      <w:r w:rsidRPr="002A4ECD">
        <w:rPr>
          <w:rFonts w:ascii="Arial" w:hAnsi="Arial" w:cs="Arial"/>
          <w:color w:val="FF0000"/>
          <w:sz w:val="20"/>
          <w:szCs w:val="20"/>
        </w:rPr>
        <w:t xml:space="preserve"> believes that it is appropriate to identify a particular </w:t>
      </w:r>
      <w:r w:rsidRPr="002A4ECD">
        <w:rPr>
          <w:rFonts w:ascii="Arial" w:hAnsi="Arial" w:cs="Arial"/>
          <w:b/>
          <w:bCs/>
          <w:color w:val="FF0000"/>
          <w:sz w:val="20"/>
          <w:szCs w:val="20"/>
        </w:rPr>
        <w:t>User</w:t>
      </w:r>
      <w:r w:rsidRPr="002A4ECD">
        <w:rPr>
          <w:rFonts w:ascii="Arial" w:hAnsi="Arial" w:cs="Arial"/>
          <w:color w:val="FF0000"/>
          <w:sz w:val="20"/>
          <w:szCs w:val="20"/>
        </w:rPr>
        <w:t xml:space="preserve">, connection site or </w:t>
      </w:r>
      <w:r w:rsidRPr="002A4ECD">
        <w:rPr>
          <w:rFonts w:ascii="Arial" w:hAnsi="Arial" w:cs="Arial"/>
          <w:b/>
          <w:bCs/>
          <w:color w:val="FF0000"/>
          <w:sz w:val="20"/>
          <w:szCs w:val="20"/>
        </w:rPr>
        <w:t>Plant</w:t>
      </w:r>
      <w:r w:rsidRPr="002A4ECD">
        <w:rPr>
          <w:rFonts w:ascii="Arial" w:hAnsi="Arial" w:cs="Arial"/>
          <w:color w:val="FF0000"/>
          <w:sz w:val="20"/>
          <w:szCs w:val="20"/>
        </w:rPr>
        <w:t xml:space="preserve"> and </w:t>
      </w:r>
      <w:r w:rsidRPr="002A4ECD">
        <w:rPr>
          <w:rFonts w:ascii="Arial" w:hAnsi="Arial" w:cs="Arial"/>
          <w:b/>
          <w:bCs/>
          <w:color w:val="FF0000"/>
          <w:sz w:val="20"/>
          <w:szCs w:val="20"/>
        </w:rPr>
        <w:t>Apparatus</w:t>
      </w:r>
      <w:r w:rsidRPr="002A4ECD">
        <w:rPr>
          <w:rFonts w:ascii="Arial" w:hAnsi="Arial" w:cs="Arial"/>
          <w:color w:val="FF0000"/>
          <w:sz w:val="20"/>
          <w:szCs w:val="20"/>
        </w:rPr>
        <w:t xml:space="preserve">, </w:t>
      </w:r>
      <w:r w:rsidRPr="002A4ECD">
        <w:rPr>
          <w:rFonts w:ascii="Arial" w:hAnsi="Arial" w:cs="Arial"/>
          <w:b/>
          <w:color w:val="FF0000"/>
          <w:sz w:val="20"/>
          <w:szCs w:val="20"/>
        </w:rPr>
        <w:t>The Company</w:t>
      </w:r>
      <w:r w:rsidRPr="002A4ECD">
        <w:rPr>
          <w:rFonts w:ascii="Arial" w:hAnsi="Arial" w:cs="Arial"/>
          <w:color w:val="FF0000"/>
          <w:sz w:val="20"/>
          <w:szCs w:val="20"/>
        </w:rPr>
        <w:t xml:space="preserve"> shall in the first instance consult the relevant </w:t>
      </w:r>
      <w:r w:rsidRPr="002A4ECD">
        <w:rPr>
          <w:rFonts w:ascii="Arial" w:hAnsi="Arial" w:cs="Arial"/>
          <w:b/>
          <w:bCs/>
          <w:color w:val="FF0000"/>
          <w:sz w:val="20"/>
          <w:szCs w:val="20"/>
        </w:rPr>
        <w:t>User</w:t>
      </w:r>
      <w:r w:rsidRPr="002A4ECD">
        <w:rPr>
          <w:rFonts w:ascii="Arial" w:hAnsi="Arial" w:cs="Arial"/>
          <w:color w:val="FF0000"/>
          <w:sz w:val="20"/>
          <w:szCs w:val="20"/>
        </w:rPr>
        <w:t xml:space="preserve"> and/or manufacturer as applicable to seek agreement for publication. </w:t>
      </w:r>
    </w:p>
    <w:p w14:paraId="62F89EE3" w14:textId="0432AADB" w:rsidR="00846DF6" w:rsidRPr="002A4ECD" w:rsidRDefault="00846DF6" w:rsidP="00846DF6">
      <w:pPr>
        <w:ind w:left="1418" w:hanging="1418"/>
        <w:jc w:val="both"/>
        <w:rPr>
          <w:rFonts w:ascii="Arial" w:hAnsi="Arial" w:cs="Arial"/>
          <w:color w:val="FF0000"/>
          <w:sz w:val="20"/>
          <w:szCs w:val="20"/>
        </w:rPr>
      </w:pPr>
      <w:r w:rsidRPr="002A4ECD">
        <w:rPr>
          <w:rFonts w:ascii="Arial" w:hAnsi="Arial" w:cs="Arial"/>
          <w:color w:val="FF0000"/>
          <w:sz w:val="20"/>
          <w:szCs w:val="20"/>
        </w:rPr>
        <w:t>OC3.6.3</w:t>
      </w:r>
      <w:r w:rsidRPr="002A4ECD">
        <w:rPr>
          <w:rFonts w:ascii="Arial" w:hAnsi="Arial" w:cs="Arial"/>
          <w:color w:val="FF0000"/>
          <w:sz w:val="20"/>
          <w:szCs w:val="20"/>
        </w:rPr>
        <w:tab/>
        <w:t xml:space="preserve">If permission for publication is not granted by the </w:t>
      </w:r>
      <w:r w:rsidRPr="002A4ECD">
        <w:rPr>
          <w:rFonts w:ascii="Arial" w:hAnsi="Arial" w:cs="Arial"/>
          <w:b/>
          <w:bCs/>
          <w:color w:val="FF0000"/>
          <w:sz w:val="20"/>
          <w:szCs w:val="20"/>
        </w:rPr>
        <w:t>User</w:t>
      </w:r>
      <w:r w:rsidR="00594D67" w:rsidRPr="002A4ECD">
        <w:rPr>
          <w:rFonts w:ascii="Arial" w:hAnsi="Arial" w:cs="Arial"/>
          <w:color w:val="FF0000"/>
          <w:sz w:val="20"/>
          <w:szCs w:val="20"/>
        </w:rPr>
        <w:t xml:space="preserve"> </w:t>
      </w:r>
      <w:r w:rsidRPr="002A4ECD">
        <w:rPr>
          <w:rFonts w:ascii="Arial" w:hAnsi="Arial" w:cs="Arial"/>
          <w:color w:val="FF0000"/>
          <w:sz w:val="20"/>
          <w:szCs w:val="20"/>
        </w:rPr>
        <w:t xml:space="preserve">and/or manufacturer and </w:t>
      </w:r>
      <w:r w:rsidRPr="002A4ECD">
        <w:rPr>
          <w:rFonts w:ascii="Arial" w:hAnsi="Arial" w:cs="Arial"/>
          <w:b/>
          <w:color w:val="FF0000"/>
          <w:sz w:val="20"/>
          <w:szCs w:val="20"/>
        </w:rPr>
        <w:t>The Company</w:t>
      </w:r>
      <w:r w:rsidRPr="002A4ECD">
        <w:rPr>
          <w:rFonts w:ascii="Arial" w:hAnsi="Arial" w:cs="Arial"/>
          <w:color w:val="FF0000"/>
          <w:sz w:val="20"/>
          <w:szCs w:val="20"/>
        </w:rPr>
        <w:t xml:space="preserve"> believes that it is appropriate to identify a particular </w:t>
      </w:r>
      <w:r w:rsidRPr="002A4ECD">
        <w:rPr>
          <w:rFonts w:ascii="Arial" w:hAnsi="Arial" w:cs="Arial"/>
          <w:b/>
          <w:bCs/>
          <w:color w:val="FF0000"/>
          <w:sz w:val="20"/>
          <w:szCs w:val="20"/>
        </w:rPr>
        <w:t>User</w:t>
      </w:r>
      <w:r w:rsidRPr="002A4ECD">
        <w:rPr>
          <w:rFonts w:ascii="Arial" w:hAnsi="Arial" w:cs="Arial"/>
          <w:color w:val="FF0000"/>
          <w:sz w:val="20"/>
          <w:szCs w:val="20"/>
        </w:rPr>
        <w:t xml:space="preserve">, connection site or </w:t>
      </w:r>
      <w:r w:rsidRPr="002A4ECD">
        <w:rPr>
          <w:rFonts w:ascii="Arial" w:hAnsi="Arial" w:cs="Arial"/>
          <w:b/>
          <w:bCs/>
          <w:color w:val="FF0000"/>
          <w:sz w:val="20"/>
          <w:szCs w:val="20"/>
        </w:rPr>
        <w:t>Plant</w:t>
      </w:r>
      <w:r w:rsidRPr="002A4ECD">
        <w:rPr>
          <w:rFonts w:ascii="Arial" w:hAnsi="Arial" w:cs="Arial"/>
          <w:color w:val="FF0000"/>
          <w:sz w:val="20"/>
          <w:szCs w:val="20"/>
        </w:rPr>
        <w:t xml:space="preserve"> and </w:t>
      </w:r>
      <w:r w:rsidRPr="002A4ECD">
        <w:rPr>
          <w:rFonts w:ascii="Arial" w:hAnsi="Arial" w:cs="Arial"/>
          <w:b/>
          <w:bCs/>
          <w:color w:val="FF0000"/>
          <w:sz w:val="20"/>
          <w:szCs w:val="20"/>
        </w:rPr>
        <w:t>Apparatus</w:t>
      </w:r>
      <w:r w:rsidRPr="002A4ECD">
        <w:rPr>
          <w:rFonts w:ascii="Arial" w:hAnsi="Arial" w:cs="Arial"/>
          <w:color w:val="FF0000"/>
          <w:sz w:val="20"/>
          <w:szCs w:val="20"/>
        </w:rPr>
        <w:t xml:space="preserve">, </w:t>
      </w:r>
      <w:r w:rsidRPr="002A4ECD">
        <w:rPr>
          <w:rFonts w:ascii="Arial" w:hAnsi="Arial" w:cs="Arial"/>
          <w:b/>
          <w:color w:val="FF0000"/>
          <w:sz w:val="20"/>
          <w:szCs w:val="20"/>
        </w:rPr>
        <w:t>The Company</w:t>
      </w:r>
      <w:r w:rsidRPr="002A4ECD">
        <w:rPr>
          <w:rFonts w:ascii="Arial" w:hAnsi="Arial" w:cs="Arial"/>
          <w:color w:val="FF0000"/>
          <w:sz w:val="20"/>
          <w:szCs w:val="20"/>
        </w:rPr>
        <w:t xml:space="preserve"> may ask </w:t>
      </w:r>
      <w:r w:rsidR="002E3DCC" w:rsidRPr="002A4ECD">
        <w:rPr>
          <w:rFonts w:ascii="Arial" w:hAnsi="Arial" w:cs="Arial"/>
          <w:color w:val="FF0000"/>
          <w:sz w:val="20"/>
          <w:szCs w:val="20"/>
        </w:rPr>
        <w:t>t</w:t>
      </w:r>
      <w:r w:rsidRPr="002A4ECD">
        <w:rPr>
          <w:rFonts w:ascii="Arial" w:hAnsi="Arial" w:cs="Arial"/>
          <w:color w:val="FF0000"/>
          <w:sz w:val="20"/>
          <w:szCs w:val="20"/>
        </w:rPr>
        <w:t xml:space="preserve">he </w:t>
      </w:r>
      <w:r w:rsidRPr="002A4ECD">
        <w:rPr>
          <w:rFonts w:ascii="Arial" w:hAnsi="Arial" w:cs="Arial"/>
          <w:b/>
          <w:color w:val="FF0000"/>
          <w:sz w:val="20"/>
          <w:szCs w:val="20"/>
        </w:rPr>
        <w:t>Authority</w:t>
      </w:r>
      <w:r w:rsidRPr="002A4ECD">
        <w:rPr>
          <w:rFonts w:ascii="Arial" w:hAnsi="Arial" w:cs="Arial"/>
          <w:color w:val="FF0000"/>
          <w:sz w:val="20"/>
          <w:szCs w:val="20"/>
        </w:rPr>
        <w:t xml:space="preserve"> for </w:t>
      </w:r>
      <w:r w:rsidR="000F29ED" w:rsidRPr="002A4ECD">
        <w:rPr>
          <w:rFonts w:ascii="Arial" w:hAnsi="Arial" w:cs="Arial"/>
          <w:color w:val="FF0000"/>
          <w:sz w:val="20"/>
          <w:szCs w:val="20"/>
        </w:rPr>
        <w:t>guidance regarding</w:t>
      </w:r>
      <w:r w:rsidRPr="002A4ECD">
        <w:rPr>
          <w:rFonts w:ascii="Arial" w:hAnsi="Arial" w:cs="Arial"/>
          <w:color w:val="FF0000"/>
          <w:sz w:val="20"/>
          <w:szCs w:val="20"/>
        </w:rPr>
        <w:t xml:space="preserve"> publication.</w:t>
      </w:r>
    </w:p>
    <w:p w14:paraId="76F456BC" w14:textId="77777777" w:rsidR="00846DF6" w:rsidRPr="00846DF6" w:rsidRDefault="00846DF6" w:rsidP="00846DF6">
      <w:pPr>
        <w:pStyle w:val="Level2Text"/>
        <w:ind w:left="720" w:hanging="720"/>
        <w:rPr>
          <w:rFonts w:cs="Arial"/>
          <w:b/>
          <w:highlight w:val="yellow"/>
          <w:u w:val="single"/>
        </w:rPr>
      </w:pPr>
    </w:p>
    <w:p w14:paraId="16B05632" w14:textId="77777777" w:rsidR="00846DF6" w:rsidRPr="00846DF6" w:rsidRDefault="00846DF6" w:rsidP="00846DF6">
      <w:pPr>
        <w:pStyle w:val="Level2Text"/>
        <w:ind w:left="720" w:hanging="720"/>
        <w:rPr>
          <w:rFonts w:cs="Arial"/>
          <w:b/>
          <w:u w:val="single"/>
        </w:rPr>
      </w:pPr>
      <w:r w:rsidRPr="00846DF6">
        <w:rPr>
          <w:rFonts w:cs="Arial"/>
          <w:b/>
          <w:u w:val="single"/>
        </w:rPr>
        <w:t>Amendments to OC2</w:t>
      </w:r>
    </w:p>
    <w:p w14:paraId="2F63215F" w14:textId="6E0433C2" w:rsidR="006D5E2D" w:rsidRPr="002A4ECD" w:rsidRDefault="00846DF6" w:rsidP="00846DF6">
      <w:pPr>
        <w:pStyle w:val="Level2Text"/>
        <w:ind w:left="1276" w:hanging="1276"/>
        <w:rPr>
          <w:rFonts w:cs="Arial"/>
        </w:rPr>
      </w:pPr>
      <w:r w:rsidRPr="00846DF6">
        <w:rPr>
          <w:rFonts w:cs="Arial"/>
        </w:rPr>
        <w:t xml:space="preserve">OC2.4.8 </w:t>
      </w:r>
      <w:r w:rsidRPr="00846DF6">
        <w:rPr>
          <w:rFonts w:cs="Arial"/>
        </w:rPr>
        <w:tab/>
      </w:r>
      <w:r w:rsidRPr="002A4ECD">
        <w:rPr>
          <w:rFonts w:cs="Arial"/>
          <w:b/>
          <w:snapToGrid/>
          <w:color w:val="FF0000"/>
          <w:lang w:eastAsia="en-GB"/>
        </w:rPr>
        <w:t>The Company</w:t>
      </w:r>
      <w:r w:rsidRPr="002A4ECD">
        <w:rPr>
          <w:rFonts w:cs="Arial"/>
          <w:snapToGrid/>
          <w:color w:val="FF0000"/>
          <w:lang w:eastAsia="en-GB"/>
        </w:rPr>
        <w:t xml:space="preserve"> will </w:t>
      </w:r>
      <w:r w:rsidR="00A26DE1" w:rsidRPr="002A4ECD">
        <w:rPr>
          <w:rFonts w:cs="Arial"/>
          <w:snapToGrid/>
          <w:color w:val="FF0000"/>
          <w:lang w:eastAsia="en-GB"/>
        </w:rPr>
        <w:t xml:space="preserve">for each day </w:t>
      </w:r>
      <w:r w:rsidRPr="002A4ECD">
        <w:rPr>
          <w:rFonts w:cs="Arial"/>
          <w:snapToGrid/>
          <w:color w:val="FF0000"/>
          <w:lang w:eastAsia="en-GB"/>
        </w:rPr>
        <w:t xml:space="preserve">publish the actual largest secured loss of generation (i.e. the loss of generation against which, as a requirement of the Licence Standards, the </w:t>
      </w:r>
      <w:r w:rsidRPr="002A4ECD">
        <w:rPr>
          <w:rFonts w:cs="Arial"/>
          <w:b/>
          <w:snapToGrid/>
          <w:color w:val="FF0000"/>
          <w:lang w:eastAsia="en-GB"/>
        </w:rPr>
        <w:t>National Electricity Transmission System</w:t>
      </w:r>
      <w:r w:rsidRPr="002A4ECD">
        <w:rPr>
          <w:rFonts w:cs="Arial"/>
          <w:snapToGrid/>
          <w:color w:val="FF0000"/>
          <w:lang w:eastAsia="en-GB"/>
        </w:rPr>
        <w:t xml:space="preserve"> must be secured) or loss of import from </w:t>
      </w:r>
      <w:r w:rsidRPr="002A4ECD">
        <w:rPr>
          <w:rFonts w:cs="Arial"/>
          <w:b/>
          <w:snapToGrid/>
          <w:color w:val="FF0000"/>
          <w:lang w:eastAsia="en-GB"/>
        </w:rPr>
        <w:t>External Interconnections</w:t>
      </w:r>
      <w:r w:rsidRPr="002A4ECD">
        <w:rPr>
          <w:rFonts w:cs="Arial"/>
          <w:snapToGrid/>
          <w:color w:val="FF0000"/>
          <w:lang w:eastAsia="en-GB"/>
        </w:rPr>
        <w:t xml:space="preserve"> </w:t>
      </w:r>
      <w:r w:rsidR="00A26DE1" w:rsidRPr="002A4ECD">
        <w:rPr>
          <w:rFonts w:cs="Arial"/>
          <w:snapToGrid/>
          <w:color w:val="FF0000"/>
          <w:lang w:eastAsia="en-GB"/>
        </w:rPr>
        <w:t>for</w:t>
      </w:r>
      <w:r w:rsidRPr="002A4ECD">
        <w:rPr>
          <w:rFonts w:cs="Arial"/>
          <w:snapToGrid/>
          <w:color w:val="FF0000"/>
          <w:lang w:eastAsia="en-GB"/>
        </w:rPr>
        <w:t xml:space="preserve"> each settlement period on</w:t>
      </w:r>
      <w:r w:rsidRPr="002A4ECD">
        <w:rPr>
          <w:rFonts w:cs="Arial"/>
          <w:b/>
          <w:snapToGrid/>
          <w:color w:val="FF0000"/>
          <w:lang w:eastAsia="en-GB"/>
        </w:rPr>
        <w:t xml:space="preserve"> The Company’s </w:t>
      </w:r>
      <w:r w:rsidRPr="002A4ECD">
        <w:rPr>
          <w:rFonts w:cs="Arial"/>
          <w:snapToGrid/>
          <w:color w:val="FF0000"/>
          <w:lang w:eastAsia="en-GB"/>
        </w:rPr>
        <w:t xml:space="preserve">website. </w:t>
      </w:r>
      <w:r w:rsidRPr="002A4ECD">
        <w:rPr>
          <w:rFonts w:cs="Arial"/>
        </w:rPr>
        <w:t xml:space="preserve"> </w:t>
      </w:r>
      <w:bookmarkEnd w:id="5"/>
    </w:p>
    <w:sectPr w:rsidR="006D5E2D" w:rsidRPr="002A4E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DB3130" w14:textId="77777777" w:rsidR="00F4003D" w:rsidRDefault="00F4003D" w:rsidP="00451F2A">
      <w:pPr>
        <w:spacing w:after="0" w:line="240" w:lineRule="auto"/>
      </w:pPr>
      <w:r>
        <w:separator/>
      </w:r>
    </w:p>
  </w:endnote>
  <w:endnote w:type="continuationSeparator" w:id="0">
    <w:p w14:paraId="35592CB1" w14:textId="77777777" w:rsidR="00F4003D" w:rsidRDefault="00F4003D" w:rsidP="00451F2A">
      <w:pPr>
        <w:spacing w:after="0" w:line="240" w:lineRule="auto"/>
      </w:pPr>
      <w:r>
        <w:continuationSeparator/>
      </w:r>
    </w:p>
  </w:endnote>
  <w:endnote w:type="continuationNotice" w:id="1">
    <w:p w14:paraId="5959CE34" w14:textId="77777777" w:rsidR="00F4003D" w:rsidRDefault="00F400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7A4671" w14:textId="77777777" w:rsidR="00F4003D" w:rsidRDefault="00F4003D" w:rsidP="00451F2A">
      <w:pPr>
        <w:spacing w:after="0" w:line="240" w:lineRule="auto"/>
      </w:pPr>
      <w:r>
        <w:separator/>
      </w:r>
    </w:p>
  </w:footnote>
  <w:footnote w:type="continuationSeparator" w:id="0">
    <w:p w14:paraId="5BD2A3B6" w14:textId="77777777" w:rsidR="00F4003D" w:rsidRDefault="00F4003D" w:rsidP="00451F2A">
      <w:pPr>
        <w:spacing w:after="0" w:line="240" w:lineRule="auto"/>
      </w:pPr>
      <w:r>
        <w:continuationSeparator/>
      </w:r>
    </w:p>
  </w:footnote>
  <w:footnote w:type="continuationNotice" w:id="1">
    <w:p w14:paraId="2859612C" w14:textId="77777777" w:rsidR="00F4003D" w:rsidRDefault="00F4003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B50B7"/>
    <w:multiLevelType w:val="hybridMultilevel"/>
    <w:tmpl w:val="0840C45C"/>
    <w:lvl w:ilvl="0" w:tplc="BA70ED3E">
      <w:start w:val="1"/>
      <w:numFmt w:val="lowerRoman"/>
      <w:lvlText w:val="(%1)"/>
      <w:lvlJc w:val="left"/>
      <w:pPr>
        <w:ind w:left="242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165F6550"/>
    <w:multiLevelType w:val="hybridMultilevel"/>
    <w:tmpl w:val="B43880BE"/>
    <w:lvl w:ilvl="0" w:tplc="2BBE9FFA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1A887A78"/>
    <w:multiLevelType w:val="hybridMultilevel"/>
    <w:tmpl w:val="E000E89C"/>
    <w:lvl w:ilvl="0" w:tplc="3C2004FE">
      <w:start w:val="1"/>
      <w:numFmt w:val="lowerRoman"/>
      <w:lvlText w:val="(%1)"/>
      <w:lvlJc w:val="left"/>
      <w:pPr>
        <w:ind w:left="2558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918" w:hanging="360"/>
      </w:pPr>
    </w:lvl>
    <w:lvl w:ilvl="2" w:tplc="0809001B" w:tentative="1">
      <w:start w:val="1"/>
      <w:numFmt w:val="lowerRoman"/>
      <w:lvlText w:val="%3."/>
      <w:lvlJc w:val="right"/>
      <w:pPr>
        <w:ind w:left="3638" w:hanging="180"/>
      </w:pPr>
    </w:lvl>
    <w:lvl w:ilvl="3" w:tplc="0809000F" w:tentative="1">
      <w:start w:val="1"/>
      <w:numFmt w:val="decimal"/>
      <w:lvlText w:val="%4."/>
      <w:lvlJc w:val="left"/>
      <w:pPr>
        <w:ind w:left="4358" w:hanging="360"/>
      </w:pPr>
    </w:lvl>
    <w:lvl w:ilvl="4" w:tplc="08090019" w:tentative="1">
      <w:start w:val="1"/>
      <w:numFmt w:val="lowerLetter"/>
      <w:lvlText w:val="%5."/>
      <w:lvlJc w:val="left"/>
      <w:pPr>
        <w:ind w:left="5078" w:hanging="360"/>
      </w:pPr>
    </w:lvl>
    <w:lvl w:ilvl="5" w:tplc="0809001B" w:tentative="1">
      <w:start w:val="1"/>
      <w:numFmt w:val="lowerRoman"/>
      <w:lvlText w:val="%6."/>
      <w:lvlJc w:val="right"/>
      <w:pPr>
        <w:ind w:left="5798" w:hanging="180"/>
      </w:pPr>
    </w:lvl>
    <w:lvl w:ilvl="6" w:tplc="0809000F" w:tentative="1">
      <w:start w:val="1"/>
      <w:numFmt w:val="decimal"/>
      <w:lvlText w:val="%7."/>
      <w:lvlJc w:val="left"/>
      <w:pPr>
        <w:ind w:left="6518" w:hanging="360"/>
      </w:pPr>
    </w:lvl>
    <w:lvl w:ilvl="7" w:tplc="08090019" w:tentative="1">
      <w:start w:val="1"/>
      <w:numFmt w:val="lowerLetter"/>
      <w:lvlText w:val="%8."/>
      <w:lvlJc w:val="left"/>
      <w:pPr>
        <w:ind w:left="7238" w:hanging="360"/>
      </w:pPr>
    </w:lvl>
    <w:lvl w:ilvl="8" w:tplc="0809001B" w:tentative="1">
      <w:start w:val="1"/>
      <w:numFmt w:val="lowerRoman"/>
      <w:lvlText w:val="%9."/>
      <w:lvlJc w:val="right"/>
      <w:pPr>
        <w:ind w:left="7958" w:hanging="180"/>
      </w:pPr>
    </w:lvl>
  </w:abstractNum>
  <w:abstractNum w:abstractNumId="3" w15:restartNumberingAfterBreak="0">
    <w:nsid w:val="1D463F0B"/>
    <w:multiLevelType w:val="hybridMultilevel"/>
    <w:tmpl w:val="2CA4E3EA"/>
    <w:lvl w:ilvl="0" w:tplc="71C2B8EE">
      <w:start w:val="1"/>
      <w:numFmt w:val="lowerRoman"/>
      <w:lvlText w:val="(%1)"/>
      <w:lvlJc w:val="left"/>
      <w:pPr>
        <w:ind w:left="2498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56635F99"/>
    <w:multiLevelType w:val="hybridMultilevel"/>
    <w:tmpl w:val="0498AF3A"/>
    <w:lvl w:ilvl="0" w:tplc="18FE13AC">
      <w:start w:val="1"/>
      <w:numFmt w:val="lowerRoman"/>
      <w:lvlText w:val="(%1)"/>
      <w:lvlJc w:val="left"/>
      <w:pPr>
        <w:ind w:left="249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6C5132B0"/>
    <w:multiLevelType w:val="hybridMultilevel"/>
    <w:tmpl w:val="8B7EC150"/>
    <w:lvl w:ilvl="0" w:tplc="5600D23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74052D39"/>
    <w:multiLevelType w:val="hybridMultilevel"/>
    <w:tmpl w:val="52D8AB64"/>
    <w:lvl w:ilvl="0" w:tplc="CE2E36D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930803CE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437"/>
    <w:rsid w:val="000079D5"/>
    <w:rsid w:val="000100C4"/>
    <w:rsid w:val="00033F30"/>
    <w:rsid w:val="00052094"/>
    <w:rsid w:val="0006030D"/>
    <w:rsid w:val="000630EF"/>
    <w:rsid w:val="00063437"/>
    <w:rsid w:val="000704E5"/>
    <w:rsid w:val="000874C7"/>
    <w:rsid w:val="000A3620"/>
    <w:rsid w:val="000A4B03"/>
    <w:rsid w:val="000D33C7"/>
    <w:rsid w:val="000D562C"/>
    <w:rsid w:val="000F29ED"/>
    <w:rsid w:val="001253BA"/>
    <w:rsid w:val="001346C1"/>
    <w:rsid w:val="00166ABD"/>
    <w:rsid w:val="001B7671"/>
    <w:rsid w:val="001D1D51"/>
    <w:rsid w:val="001D43DA"/>
    <w:rsid w:val="001E17AB"/>
    <w:rsid w:val="00204E54"/>
    <w:rsid w:val="002214CC"/>
    <w:rsid w:val="00246320"/>
    <w:rsid w:val="00247A5B"/>
    <w:rsid w:val="00283AF6"/>
    <w:rsid w:val="00285153"/>
    <w:rsid w:val="002A4ECD"/>
    <w:rsid w:val="002B4BAF"/>
    <w:rsid w:val="002C6442"/>
    <w:rsid w:val="002D791A"/>
    <w:rsid w:val="002E3DCC"/>
    <w:rsid w:val="002F2248"/>
    <w:rsid w:val="002F5AB3"/>
    <w:rsid w:val="0030522A"/>
    <w:rsid w:val="003131B8"/>
    <w:rsid w:val="00322483"/>
    <w:rsid w:val="003417DE"/>
    <w:rsid w:val="00382C6C"/>
    <w:rsid w:val="00394D8A"/>
    <w:rsid w:val="003A71A0"/>
    <w:rsid w:val="003F3E10"/>
    <w:rsid w:val="004020C3"/>
    <w:rsid w:val="004175DC"/>
    <w:rsid w:val="004476A8"/>
    <w:rsid w:val="00450B62"/>
    <w:rsid w:val="00451F2A"/>
    <w:rsid w:val="00452FE4"/>
    <w:rsid w:val="00463F31"/>
    <w:rsid w:val="0047662F"/>
    <w:rsid w:val="00487F20"/>
    <w:rsid w:val="004E4E97"/>
    <w:rsid w:val="004F5E5E"/>
    <w:rsid w:val="005005E2"/>
    <w:rsid w:val="00546561"/>
    <w:rsid w:val="005571F7"/>
    <w:rsid w:val="00567127"/>
    <w:rsid w:val="00591E6B"/>
    <w:rsid w:val="00594D67"/>
    <w:rsid w:val="0059653C"/>
    <w:rsid w:val="005A6CAA"/>
    <w:rsid w:val="005B0312"/>
    <w:rsid w:val="005B2015"/>
    <w:rsid w:val="005D0224"/>
    <w:rsid w:val="005E613E"/>
    <w:rsid w:val="006114E1"/>
    <w:rsid w:val="006221A1"/>
    <w:rsid w:val="006329A3"/>
    <w:rsid w:val="006457E4"/>
    <w:rsid w:val="00665E54"/>
    <w:rsid w:val="006706EB"/>
    <w:rsid w:val="006B3F54"/>
    <w:rsid w:val="006D5E2D"/>
    <w:rsid w:val="006F1C4E"/>
    <w:rsid w:val="006F2393"/>
    <w:rsid w:val="007030B8"/>
    <w:rsid w:val="00711981"/>
    <w:rsid w:val="0071678A"/>
    <w:rsid w:val="00727D34"/>
    <w:rsid w:val="00736599"/>
    <w:rsid w:val="007574BB"/>
    <w:rsid w:val="0076086D"/>
    <w:rsid w:val="007D58AF"/>
    <w:rsid w:val="007F3542"/>
    <w:rsid w:val="007F682B"/>
    <w:rsid w:val="00834F0D"/>
    <w:rsid w:val="00841889"/>
    <w:rsid w:val="008437F7"/>
    <w:rsid w:val="00846DF6"/>
    <w:rsid w:val="00853632"/>
    <w:rsid w:val="00862C75"/>
    <w:rsid w:val="00883FE5"/>
    <w:rsid w:val="00884DBB"/>
    <w:rsid w:val="008A0791"/>
    <w:rsid w:val="008B74DA"/>
    <w:rsid w:val="008D16D1"/>
    <w:rsid w:val="008D6E11"/>
    <w:rsid w:val="00903FF7"/>
    <w:rsid w:val="009157FB"/>
    <w:rsid w:val="00917AAB"/>
    <w:rsid w:val="009214C8"/>
    <w:rsid w:val="00926654"/>
    <w:rsid w:val="009374BD"/>
    <w:rsid w:val="0094488C"/>
    <w:rsid w:val="00944D98"/>
    <w:rsid w:val="0096459C"/>
    <w:rsid w:val="00995126"/>
    <w:rsid w:val="00A26DE1"/>
    <w:rsid w:val="00A62DF6"/>
    <w:rsid w:val="00A66DE7"/>
    <w:rsid w:val="00AB61A4"/>
    <w:rsid w:val="00AE6A0D"/>
    <w:rsid w:val="00B72A90"/>
    <w:rsid w:val="00B80EF6"/>
    <w:rsid w:val="00B91106"/>
    <w:rsid w:val="00B93E09"/>
    <w:rsid w:val="00BA3C7D"/>
    <w:rsid w:val="00BB2DAE"/>
    <w:rsid w:val="00BB489C"/>
    <w:rsid w:val="00BC1F3E"/>
    <w:rsid w:val="00BC5C8B"/>
    <w:rsid w:val="00BE3110"/>
    <w:rsid w:val="00BF7D8A"/>
    <w:rsid w:val="00C03EF3"/>
    <w:rsid w:val="00C35090"/>
    <w:rsid w:val="00C51727"/>
    <w:rsid w:val="00C52320"/>
    <w:rsid w:val="00CA572C"/>
    <w:rsid w:val="00CB20E5"/>
    <w:rsid w:val="00CE43AF"/>
    <w:rsid w:val="00D02DCC"/>
    <w:rsid w:val="00D2249B"/>
    <w:rsid w:val="00D30685"/>
    <w:rsid w:val="00D53ADB"/>
    <w:rsid w:val="00D617C0"/>
    <w:rsid w:val="00DB1B0F"/>
    <w:rsid w:val="00DB651E"/>
    <w:rsid w:val="00DB7289"/>
    <w:rsid w:val="00DB7C92"/>
    <w:rsid w:val="00DD0E4C"/>
    <w:rsid w:val="00DF4629"/>
    <w:rsid w:val="00DF7FD3"/>
    <w:rsid w:val="00E01EB0"/>
    <w:rsid w:val="00E12F1B"/>
    <w:rsid w:val="00E31085"/>
    <w:rsid w:val="00E35D98"/>
    <w:rsid w:val="00E37E28"/>
    <w:rsid w:val="00E40B36"/>
    <w:rsid w:val="00E56B52"/>
    <w:rsid w:val="00E6329D"/>
    <w:rsid w:val="00E82783"/>
    <w:rsid w:val="00EA6F85"/>
    <w:rsid w:val="00EB2DD8"/>
    <w:rsid w:val="00EB4F3C"/>
    <w:rsid w:val="00EC019F"/>
    <w:rsid w:val="00EC0455"/>
    <w:rsid w:val="00EE11D1"/>
    <w:rsid w:val="00EE4421"/>
    <w:rsid w:val="00EE5660"/>
    <w:rsid w:val="00F02369"/>
    <w:rsid w:val="00F07265"/>
    <w:rsid w:val="00F4003D"/>
    <w:rsid w:val="00F678E4"/>
    <w:rsid w:val="00F7111D"/>
    <w:rsid w:val="00F74F12"/>
    <w:rsid w:val="00F808CE"/>
    <w:rsid w:val="00F90821"/>
    <w:rsid w:val="00F914C8"/>
    <w:rsid w:val="00F91D18"/>
    <w:rsid w:val="00FA0038"/>
    <w:rsid w:val="00FB2735"/>
    <w:rsid w:val="00FB7114"/>
    <w:rsid w:val="00FC0B54"/>
    <w:rsid w:val="00FF28CA"/>
    <w:rsid w:val="03079A16"/>
    <w:rsid w:val="21392572"/>
    <w:rsid w:val="26BEF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46D9594"/>
  <w15:docId w15:val="{010022DA-DF04-4EED-949D-9FE4CB616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735"/>
    <w:pPr>
      <w:ind w:left="720"/>
      <w:contextualSpacing/>
    </w:pPr>
  </w:style>
  <w:style w:type="paragraph" w:customStyle="1" w:styleId="Level1Text">
    <w:name w:val="Level 1 Text"/>
    <w:basedOn w:val="Normal"/>
    <w:link w:val="Level1TextChar"/>
    <w:rsid w:val="006D5E2D"/>
    <w:pPr>
      <w:keepLines/>
      <w:widowControl w:val="0"/>
      <w:tabs>
        <w:tab w:val="left" w:pos="1418"/>
      </w:tabs>
      <w:spacing w:after="120" w:line="264" w:lineRule="auto"/>
      <w:ind w:left="1418" w:hanging="1418"/>
      <w:jc w:val="both"/>
    </w:pPr>
    <w:rPr>
      <w:rFonts w:ascii="Arial" w:eastAsia="Times New Roman" w:hAnsi="Arial" w:cs="Times New Roman"/>
      <w:snapToGrid w:val="0"/>
      <w:color w:val="000000"/>
      <w:sz w:val="20"/>
      <w:szCs w:val="20"/>
    </w:rPr>
  </w:style>
  <w:style w:type="character" w:customStyle="1" w:styleId="Level1TextChar">
    <w:name w:val="Level 1 Text Char"/>
    <w:link w:val="Level1Text"/>
    <w:rsid w:val="006D5E2D"/>
    <w:rPr>
      <w:rFonts w:ascii="Arial" w:eastAsia="Times New Roman" w:hAnsi="Arial" w:cs="Times New Roman"/>
      <w:snapToGrid w:val="0"/>
      <w:color w:val="000000"/>
      <w:sz w:val="20"/>
      <w:szCs w:val="20"/>
    </w:rPr>
  </w:style>
  <w:style w:type="paragraph" w:customStyle="1" w:styleId="Level2Text">
    <w:name w:val="Level 2 Text"/>
    <w:basedOn w:val="Normal"/>
    <w:rsid w:val="006D5E2D"/>
    <w:pPr>
      <w:keepLines/>
      <w:widowControl w:val="0"/>
      <w:tabs>
        <w:tab w:val="left" w:pos="1843"/>
      </w:tabs>
      <w:spacing w:after="120" w:line="264" w:lineRule="auto"/>
      <w:ind w:left="1843" w:hanging="425"/>
      <w:jc w:val="both"/>
    </w:pPr>
    <w:rPr>
      <w:rFonts w:ascii="Arial" w:eastAsia="Times New Roman" w:hAnsi="Arial" w:cs="Times New Roman"/>
      <w:snapToGrid w:val="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911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1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1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1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1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10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7F35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3542"/>
  </w:style>
  <w:style w:type="paragraph" w:styleId="Footer">
    <w:name w:val="footer"/>
    <w:basedOn w:val="Normal"/>
    <w:link w:val="FooterChar"/>
    <w:uiPriority w:val="99"/>
    <w:semiHidden/>
    <w:unhideWhenUsed/>
    <w:rsid w:val="007F35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3542"/>
  </w:style>
  <w:style w:type="paragraph" w:styleId="Revision">
    <w:name w:val="Revision"/>
    <w:hidden/>
    <w:uiPriority w:val="99"/>
    <w:semiHidden/>
    <w:rsid w:val="00FF28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2" ma:contentTypeDescription="Create a new document." ma:contentTypeScope="" ma:versionID="500c4111159a6cdb2c559c09252a5b4b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70b7d7a1b7933184738286741f0b6769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AD8CBB-C85E-4503-B79B-1859656F7B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837822-F47F-4F2F-A249-E580EF8A88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09EF6B-7A78-42EF-A946-44C5BE8A8E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1776</Words>
  <Characters>10124</Characters>
  <Application>Microsoft Office Word</Application>
  <DocSecurity>4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 Electric UK</Company>
  <LinksUpToDate>false</LinksUpToDate>
  <CharactersWithSpaces>11877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(ESO), Robert</dc:creator>
  <cp:lastModifiedBy>Wilson (ESO), Robert</cp:lastModifiedBy>
  <cp:revision>2</cp:revision>
  <dcterms:created xsi:type="dcterms:W3CDTF">2021-09-09T14:51:00Z</dcterms:created>
  <dcterms:modified xsi:type="dcterms:W3CDTF">2021-09-09T14:51:00Z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</Properties>
</file>